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24C8" w14:textId="77777777" w:rsidR="000F69FB" w:rsidRPr="00C803F3" w:rsidRDefault="000F69FB"/>
    <w:bookmarkStart w:id="0" w:name="Title" w:displacedByCustomXml="next"/>
    <w:sdt>
      <w:sdtPr>
        <w:alias w:val="Title"/>
        <w:tag w:val="Title"/>
        <w:id w:val="1323468504"/>
        <w:placeholder>
          <w:docPart w:val="61903E2FE5194F07884F95ED81866A63"/>
        </w:placeholder>
      </w:sdtPr>
      <w:sdtEndPr/>
      <w:sdtContent>
        <w:p w14:paraId="1CB6FDA7" w14:textId="1150B07B" w:rsidR="009B6F95" w:rsidRPr="00C803F3" w:rsidRDefault="000953FA" w:rsidP="009B6F95">
          <w:pPr>
            <w:pStyle w:val="Title1"/>
          </w:pPr>
          <w:r>
            <w:t xml:space="preserve">Improvement Support to </w:t>
          </w:r>
          <w:r w:rsidR="00C1691D">
            <w:t>Councils -</w:t>
          </w:r>
          <w:r w:rsidR="00C2471E">
            <w:t xml:space="preserve"> One Public Estate</w:t>
          </w:r>
        </w:p>
        <w:bookmarkEnd w:id="0" w:displacedByCustomXml="next"/>
      </w:sdtContent>
    </w:sdt>
    <w:p w14:paraId="332D9FD9"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85A19CD" w14:textId="7079B388" w:rsidR="009B6F95" w:rsidRPr="00A627DD" w:rsidRDefault="004010BD" w:rsidP="00B84F31">
          <w:pPr>
            <w:ind w:left="0" w:firstLine="0"/>
          </w:pPr>
          <w:r>
            <w:rPr>
              <w:rStyle w:val="Style6"/>
            </w:rPr>
            <w:t xml:space="preserve">Purpose: </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39CC2BD" w14:textId="10007B4E" w:rsidR="00795C95" w:rsidRDefault="00D06492" w:rsidP="00B84F31">
          <w:pPr>
            <w:ind w:left="0" w:firstLine="0"/>
            <w:rPr>
              <w:rStyle w:val="Title3Char"/>
            </w:rPr>
          </w:pPr>
          <w:r>
            <w:rPr>
              <w:rStyle w:val="Title3Char"/>
            </w:rPr>
            <w:t>For information.</w:t>
          </w:r>
        </w:p>
      </w:sdtContent>
    </w:sdt>
    <w:p w14:paraId="1FE78A7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10B83E8B" w14:textId="77777777" w:rsidR="009B6F95" w:rsidRPr="00A627DD" w:rsidRDefault="009B6F95" w:rsidP="00B84F31">
          <w:pPr>
            <w:ind w:left="0" w:firstLine="0"/>
          </w:pPr>
          <w:r w:rsidRPr="00C803F3">
            <w:rPr>
              <w:rStyle w:val="Style6"/>
            </w:rPr>
            <w:t>Summary</w:t>
          </w:r>
        </w:p>
      </w:sdtContent>
    </w:sdt>
    <w:p w14:paraId="4587AFDC" w14:textId="17777086" w:rsidR="00F150F6" w:rsidRDefault="00C2471E" w:rsidP="00C2471E">
      <w:pPr>
        <w:pStyle w:val="NormalWeb"/>
        <w:rPr>
          <w:rFonts w:ascii="Arial" w:hAnsi="Arial" w:cs="Arial"/>
          <w:sz w:val="22"/>
          <w:szCs w:val="22"/>
        </w:rPr>
      </w:pPr>
      <w:r w:rsidRPr="00BC1A60">
        <w:rPr>
          <w:rFonts w:ascii="Arial" w:hAnsi="Arial" w:cs="Arial"/>
          <w:sz w:val="22"/>
          <w:szCs w:val="22"/>
        </w:rPr>
        <w:t>The O</w:t>
      </w:r>
      <w:r>
        <w:rPr>
          <w:rFonts w:ascii="Arial" w:hAnsi="Arial" w:cs="Arial"/>
          <w:sz w:val="22"/>
          <w:szCs w:val="22"/>
        </w:rPr>
        <w:t xml:space="preserve">ne </w:t>
      </w:r>
      <w:r w:rsidRPr="00BC1A60">
        <w:rPr>
          <w:rFonts w:ascii="Arial" w:hAnsi="Arial" w:cs="Arial"/>
          <w:sz w:val="22"/>
          <w:szCs w:val="22"/>
        </w:rPr>
        <w:t>P</w:t>
      </w:r>
      <w:r>
        <w:rPr>
          <w:rFonts w:ascii="Arial" w:hAnsi="Arial" w:cs="Arial"/>
          <w:sz w:val="22"/>
          <w:szCs w:val="22"/>
        </w:rPr>
        <w:t xml:space="preserve">ublic </w:t>
      </w:r>
      <w:r w:rsidRPr="00BC1A60">
        <w:rPr>
          <w:rFonts w:ascii="Arial" w:hAnsi="Arial" w:cs="Arial"/>
          <w:sz w:val="22"/>
          <w:szCs w:val="22"/>
        </w:rPr>
        <w:t>E</w:t>
      </w:r>
      <w:r>
        <w:rPr>
          <w:rFonts w:ascii="Arial" w:hAnsi="Arial" w:cs="Arial"/>
          <w:sz w:val="22"/>
          <w:szCs w:val="22"/>
        </w:rPr>
        <w:t>state (OPE)</w:t>
      </w:r>
      <w:r w:rsidRPr="00BC1A60">
        <w:rPr>
          <w:rFonts w:ascii="Arial" w:hAnsi="Arial" w:cs="Arial"/>
          <w:sz w:val="22"/>
          <w:szCs w:val="22"/>
        </w:rPr>
        <w:t xml:space="preserve"> programme </w:t>
      </w:r>
      <w:r w:rsidR="00F150F6">
        <w:rPr>
          <w:rFonts w:ascii="Arial" w:hAnsi="Arial" w:cs="Arial"/>
          <w:sz w:val="22"/>
          <w:szCs w:val="22"/>
        </w:rPr>
        <w:t xml:space="preserve">has grown since its inception as a pilot programme in 2013 working with 12 council areas, to a large national programme </w:t>
      </w:r>
      <w:r w:rsidR="009F673B">
        <w:rPr>
          <w:rFonts w:ascii="Arial" w:hAnsi="Arial" w:cs="Arial"/>
          <w:sz w:val="22"/>
          <w:szCs w:val="22"/>
        </w:rPr>
        <w:t>now involving</w:t>
      </w:r>
      <w:r w:rsidR="00F150F6">
        <w:rPr>
          <w:rFonts w:ascii="Arial" w:hAnsi="Arial" w:cs="Arial"/>
          <w:sz w:val="22"/>
          <w:szCs w:val="22"/>
        </w:rPr>
        <w:t xml:space="preserve"> 97% of </w:t>
      </w:r>
      <w:r w:rsidR="00F515E4">
        <w:rPr>
          <w:rFonts w:ascii="Arial" w:hAnsi="Arial" w:cs="Arial"/>
          <w:sz w:val="22"/>
          <w:szCs w:val="22"/>
        </w:rPr>
        <w:t>councils</w:t>
      </w:r>
      <w:r w:rsidR="00F150F6">
        <w:rPr>
          <w:rFonts w:ascii="Arial" w:hAnsi="Arial" w:cs="Arial"/>
          <w:sz w:val="22"/>
          <w:szCs w:val="22"/>
        </w:rPr>
        <w:t xml:space="preserve">. </w:t>
      </w:r>
    </w:p>
    <w:p w14:paraId="4D926D35" w14:textId="2078E7E4" w:rsidR="00C2471E" w:rsidRDefault="00F150F6" w:rsidP="00C2471E">
      <w:pPr>
        <w:pStyle w:val="NormalWeb"/>
        <w:rPr>
          <w:rFonts w:ascii="Arial" w:hAnsi="Arial" w:cs="Arial"/>
          <w:sz w:val="22"/>
          <w:szCs w:val="22"/>
        </w:rPr>
      </w:pPr>
      <w:r>
        <w:rPr>
          <w:rFonts w:ascii="Arial" w:hAnsi="Arial" w:cs="Arial"/>
          <w:sz w:val="22"/>
          <w:szCs w:val="22"/>
        </w:rPr>
        <w:t xml:space="preserve">This report details the growth and progress of the programme, </w:t>
      </w:r>
      <w:r w:rsidR="00C45D68">
        <w:rPr>
          <w:rFonts w:ascii="Arial" w:hAnsi="Arial" w:cs="Arial"/>
          <w:sz w:val="22"/>
          <w:szCs w:val="22"/>
        </w:rPr>
        <w:t xml:space="preserve">including the </w:t>
      </w:r>
      <w:r w:rsidR="00776225">
        <w:rPr>
          <w:rFonts w:ascii="Arial" w:hAnsi="Arial" w:cs="Arial"/>
          <w:sz w:val="22"/>
          <w:szCs w:val="22"/>
        </w:rPr>
        <w:t xml:space="preserve">further </w:t>
      </w:r>
      <w:r w:rsidR="00C45D68">
        <w:rPr>
          <w:rFonts w:ascii="Arial" w:hAnsi="Arial" w:cs="Arial"/>
          <w:sz w:val="22"/>
          <w:szCs w:val="22"/>
        </w:rPr>
        <w:t>£</w:t>
      </w:r>
      <w:r w:rsidR="00776225">
        <w:rPr>
          <w:rFonts w:ascii="Arial" w:hAnsi="Arial" w:cs="Arial"/>
          <w:sz w:val="22"/>
          <w:szCs w:val="22"/>
        </w:rPr>
        <w:t>180</w:t>
      </w:r>
      <w:r w:rsidR="00C45D68">
        <w:rPr>
          <w:rFonts w:ascii="Arial" w:hAnsi="Arial" w:cs="Arial"/>
          <w:sz w:val="22"/>
          <w:szCs w:val="22"/>
        </w:rPr>
        <w:t xml:space="preserve">m </w:t>
      </w:r>
      <w:r w:rsidR="00776225">
        <w:rPr>
          <w:rFonts w:ascii="Arial" w:hAnsi="Arial" w:cs="Arial"/>
          <w:sz w:val="22"/>
          <w:szCs w:val="22"/>
        </w:rPr>
        <w:t xml:space="preserve">of </w:t>
      </w:r>
      <w:r w:rsidR="00C45D68">
        <w:rPr>
          <w:rFonts w:ascii="Arial" w:hAnsi="Arial" w:cs="Arial"/>
          <w:sz w:val="22"/>
          <w:szCs w:val="22"/>
        </w:rPr>
        <w:t xml:space="preserve">Brownfield Land Release </w:t>
      </w:r>
      <w:r w:rsidR="007E4448">
        <w:rPr>
          <w:rFonts w:ascii="Arial" w:hAnsi="Arial" w:cs="Arial"/>
          <w:sz w:val="22"/>
          <w:szCs w:val="22"/>
        </w:rPr>
        <w:t>Fund</w:t>
      </w:r>
      <w:r w:rsidR="00776225">
        <w:rPr>
          <w:rFonts w:ascii="Arial" w:hAnsi="Arial" w:cs="Arial"/>
          <w:sz w:val="22"/>
          <w:szCs w:val="22"/>
        </w:rPr>
        <w:t xml:space="preserve">ing </w:t>
      </w:r>
      <w:r w:rsidR="00A477E1">
        <w:rPr>
          <w:rFonts w:ascii="Arial" w:hAnsi="Arial" w:cs="Arial"/>
          <w:sz w:val="22"/>
          <w:szCs w:val="22"/>
        </w:rPr>
        <w:t xml:space="preserve">currently </w:t>
      </w:r>
      <w:r w:rsidR="00776225">
        <w:rPr>
          <w:rFonts w:ascii="Arial" w:hAnsi="Arial" w:cs="Arial"/>
          <w:sz w:val="22"/>
          <w:szCs w:val="22"/>
        </w:rPr>
        <w:t xml:space="preserve">being administered </w:t>
      </w:r>
      <w:r w:rsidR="00DA2BB1">
        <w:rPr>
          <w:rFonts w:ascii="Arial" w:hAnsi="Arial" w:cs="Arial"/>
          <w:sz w:val="22"/>
          <w:szCs w:val="22"/>
        </w:rPr>
        <w:t xml:space="preserve">over three years, </w:t>
      </w:r>
      <w:r w:rsidR="001F544E">
        <w:rPr>
          <w:rFonts w:ascii="Arial" w:hAnsi="Arial" w:cs="Arial"/>
          <w:sz w:val="22"/>
          <w:szCs w:val="22"/>
        </w:rPr>
        <w:t>2022</w:t>
      </w:r>
      <w:r w:rsidR="00DA2BB1">
        <w:rPr>
          <w:rFonts w:ascii="Arial" w:hAnsi="Arial" w:cs="Arial"/>
          <w:sz w:val="22"/>
          <w:szCs w:val="22"/>
        </w:rPr>
        <w:t xml:space="preserve">/23 - </w:t>
      </w:r>
      <w:r w:rsidR="00073502">
        <w:rPr>
          <w:rFonts w:ascii="Arial" w:hAnsi="Arial" w:cs="Arial"/>
          <w:sz w:val="22"/>
          <w:szCs w:val="22"/>
        </w:rPr>
        <w:t>2024/25.</w:t>
      </w:r>
    </w:p>
    <w:p w14:paraId="59CA5044" w14:textId="77777777" w:rsidR="009B6F95" w:rsidRDefault="009B6F95" w:rsidP="00253F05">
      <w:pPr>
        <w:pStyle w:val="Title3"/>
        <w:ind w:left="0" w:firstLine="0"/>
      </w:pPr>
    </w:p>
    <w:p w14:paraId="41761932"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59D363" wp14:editId="3B002CC3">
                <wp:simplePos x="0" y="0"/>
                <wp:positionH relativeFrom="margin">
                  <wp:align>right</wp:align>
                </wp:positionH>
                <wp:positionV relativeFrom="paragraph">
                  <wp:posOffset>71120</wp:posOffset>
                </wp:positionV>
                <wp:extent cx="5705475" cy="1028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42EDD3" w14:textId="77777777" w:rsidR="000528D5" w:rsidRDefault="000528D5"/>
                          <w:sdt>
                            <w:sdtPr>
                              <w:rPr>
                                <w:rStyle w:val="Style6"/>
                              </w:rPr>
                              <w:alias w:val="Recommendations"/>
                              <w:tag w:val="Recommendations"/>
                              <w:id w:val="-1634171231"/>
                              <w:placeholder>
                                <w:docPart w:val="6A9E8857DB8647FABF64567742B78AD3"/>
                              </w:placeholder>
                            </w:sdtPr>
                            <w:sdtEndPr>
                              <w:rPr>
                                <w:rStyle w:val="Style6"/>
                              </w:rPr>
                            </w:sdtEndPr>
                            <w:sdtContent>
                              <w:p w14:paraId="6DAA8EA4" w14:textId="74FE5F4E" w:rsidR="000528D5" w:rsidRPr="00A627DD" w:rsidRDefault="000528D5" w:rsidP="00B84F31">
                                <w:pPr>
                                  <w:ind w:left="0" w:firstLine="0"/>
                                </w:pPr>
                                <w:r w:rsidRPr="00C803F3">
                                  <w:rPr>
                                    <w:rStyle w:val="Style6"/>
                                  </w:rPr>
                                  <w:t>Recommendations</w:t>
                                </w:r>
                              </w:p>
                            </w:sdtContent>
                          </w:sdt>
                          <w:p w14:paraId="0BFED08D" w14:textId="039FA014" w:rsidR="000528D5" w:rsidRDefault="001E5ADF" w:rsidP="001E5ADF">
                            <w:pPr>
                              <w:pStyle w:val="Title3"/>
                              <w:ind w:left="0" w:firstLine="0"/>
                            </w:pPr>
                            <w:r w:rsidRPr="00B84F31">
                              <w:t>That</w:t>
                            </w:r>
                            <w:r>
                              <w:t xml:space="preserve"> IIB </w:t>
                            </w:r>
                            <w:r w:rsidR="00F150F6">
                              <w:t>notes the progress of the O</w:t>
                            </w:r>
                            <w:r>
                              <w:t>ne Public Estate programme</w:t>
                            </w:r>
                            <w:r w:rsidR="00F150F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9D36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8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" fillcolor="white [3201]" strokeweight=".5pt">
                <v:textbox>
                  <w:txbxContent>
                    <w:p w14:paraId="4742EDD3" w14:textId="77777777" w:rsidR="000528D5" w:rsidRDefault="000528D5"/>
                    <w:sdt>
                      <w:sdtPr>
                        <w:rPr>
                          <w:rStyle w:val="Style6"/>
                        </w:rPr>
                        <w:alias w:val="Recommendations"/>
                        <w:tag w:val="Recommendations"/>
                        <w:id w:val="-1634171231"/>
                        <w:placeholder>
                          <w:docPart w:val="6A9E8857DB8647FABF64567742B78AD3"/>
                        </w:placeholder>
                      </w:sdtPr>
                      <w:sdtEndPr>
                        <w:rPr>
                          <w:rStyle w:val="Style6"/>
                        </w:rPr>
                      </w:sdtEndPr>
                      <w:sdtContent>
                        <w:p w14:paraId="6DAA8EA4" w14:textId="74FE5F4E" w:rsidR="000528D5" w:rsidRPr="00A627DD" w:rsidRDefault="000528D5" w:rsidP="00B84F31">
                          <w:pPr>
                            <w:ind w:left="0" w:firstLine="0"/>
                          </w:pPr>
                          <w:r w:rsidRPr="00C803F3">
                            <w:rPr>
                              <w:rStyle w:val="Style6"/>
                            </w:rPr>
                            <w:t>Recommendations</w:t>
                          </w:r>
                        </w:p>
                      </w:sdtContent>
                    </w:sdt>
                    <w:p w14:paraId="0BFED08D" w14:textId="039FA014" w:rsidR="000528D5" w:rsidRDefault="001E5ADF" w:rsidP="001E5ADF">
                      <w:pPr>
                        <w:pStyle w:val="Title3"/>
                        <w:ind w:left="0" w:firstLine="0"/>
                      </w:pPr>
                      <w:r w:rsidRPr="00B84F31">
                        <w:t>That</w:t>
                      </w:r>
                      <w:r>
                        <w:t xml:space="preserve"> IIB </w:t>
                      </w:r>
                      <w:r w:rsidR="00F150F6">
                        <w:t>notes the progress of the O</w:t>
                      </w:r>
                      <w:r>
                        <w:t>ne Public Estate programme</w:t>
                      </w:r>
                      <w:r w:rsidR="00F150F6">
                        <w:t>.</w:t>
                      </w:r>
                    </w:p>
                  </w:txbxContent>
                </v:textbox>
                <w10:wrap anchorx="margin"/>
              </v:shape>
            </w:pict>
          </mc:Fallback>
        </mc:AlternateContent>
      </w:r>
    </w:p>
    <w:p w14:paraId="6AB15A7E" w14:textId="77777777" w:rsidR="009B6F95" w:rsidRDefault="009B6F95" w:rsidP="00B84F31">
      <w:pPr>
        <w:pStyle w:val="Title3"/>
      </w:pPr>
    </w:p>
    <w:p w14:paraId="30E990FB" w14:textId="77777777" w:rsidR="009B6F95" w:rsidRDefault="009B6F95" w:rsidP="00B84F31">
      <w:pPr>
        <w:pStyle w:val="Title3"/>
      </w:pPr>
    </w:p>
    <w:p w14:paraId="0B6BB4AB" w14:textId="77777777" w:rsidR="009B6F95" w:rsidRDefault="009B6F95" w:rsidP="00B84F31">
      <w:pPr>
        <w:pStyle w:val="Title3"/>
      </w:pPr>
    </w:p>
    <w:p w14:paraId="3DFEC289" w14:textId="77777777" w:rsidR="009B6F95" w:rsidRDefault="009B6F95" w:rsidP="00B84F31">
      <w:pPr>
        <w:pStyle w:val="Title3"/>
      </w:pPr>
    </w:p>
    <w:p w14:paraId="7179E75F" w14:textId="77777777" w:rsidR="009B6F95" w:rsidRDefault="009B6F95" w:rsidP="00B84F31">
      <w:pPr>
        <w:pStyle w:val="Title3"/>
      </w:pPr>
    </w:p>
    <w:p w14:paraId="6CAE0D0A" w14:textId="77777777" w:rsidR="009B6F95" w:rsidRDefault="009B6F95" w:rsidP="00B84F31">
      <w:pPr>
        <w:pStyle w:val="Title3"/>
      </w:pPr>
    </w:p>
    <w:p w14:paraId="6C371744" w14:textId="77777777" w:rsidR="009B6F95" w:rsidRDefault="009B6F95" w:rsidP="00B84F31">
      <w:pPr>
        <w:pStyle w:val="Title3"/>
      </w:pPr>
    </w:p>
    <w:p w14:paraId="2C99BBD4" w14:textId="77777777" w:rsidR="009B6F95" w:rsidRDefault="009B6F95" w:rsidP="00253F05">
      <w:pPr>
        <w:pStyle w:val="Title3"/>
        <w:ind w:left="0" w:firstLine="0"/>
      </w:pPr>
    </w:p>
    <w:p w14:paraId="20C776B4" w14:textId="7781AF23" w:rsidR="009B6F95" w:rsidRPr="00C803F3" w:rsidRDefault="00495DE6"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E5ADF">
            <w:t>Ellen Vernon</w:t>
          </w:r>
        </w:sdtContent>
      </w:sdt>
    </w:p>
    <w:p w14:paraId="1F21A432" w14:textId="4C8DD55A" w:rsidR="009B6F95" w:rsidRDefault="00495DE6"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E5ADF">
            <w:t>Programme Director – One Public Estate</w:t>
          </w:r>
        </w:sdtContent>
      </w:sdt>
    </w:p>
    <w:p w14:paraId="68A4CC9B" w14:textId="46AD4A5E" w:rsidR="009B6F95" w:rsidRDefault="00495DE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w:t>
          </w:r>
          <w:r w:rsidR="001E5ADF">
            <w:t>7464 652918</w:t>
          </w:r>
        </w:sdtContent>
      </w:sdt>
      <w:r w:rsidR="009B6F95" w:rsidRPr="00B5377C">
        <w:t xml:space="preserve"> </w:t>
      </w:r>
    </w:p>
    <w:p w14:paraId="154A4A3A" w14:textId="6679D7D7" w:rsidR="009B6F95" w:rsidRDefault="00495DE6"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E5ADF">
            <w:t>ellen.vernon</w:t>
          </w:r>
          <w:r w:rsidR="009B6F95" w:rsidRPr="00C803F3">
            <w:t>@local.gov.uk</w:t>
          </w:r>
        </w:sdtContent>
      </w:sdt>
    </w:p>
    <w:p w14:paraId="5E0E4678" w14:textId="77777777" w:rsidR="009B6F95" w:rsidRPr="00E8118A" w:rsidRDefault="009B6F95" w:rsidP="00B84F31">
      <w:pPr>
        <w:pStyle w:val="Title3"/>
      </w:pPr>
    </w:p>
    <w:p w14:paraId="05A9AC23" w14:textId="38489CE6" w:rsidR="003D7B8F" w:rsidRDefault="009B6F95" w:rsidP="00253F05">
      <w:pPr>
        <w:pStyle w:val="Title3"/>
      </w:pPr>
      <w:r w:rsidRPr="00C803F3">
        <w:t xml:space="preserve"> </w:t>
      </w:r>
    </w:p>
    <w:p w14:paraId="54B7F5AD" w14:textId="77777777" w:rsidR="00FF31BF" w:rsidRPr="00C803F3" w:rsidRDefault="00FF31BF" w:rsidP="00253F05">
      <w:pPr>
        <w:pStyle w:val="Title3"/>
      </w:pPr>
    </w:p>
    <w:sdt>
      <w:sdtPr>
        <w:alias w:val="Title"/>
        <w:tag w:val="Title"/>
        <w:id w:val="113023092"/>
        <w:placeholder>
          <w:docPart w:val="0E329E2C74054110AE151748FF1BD64D"/>
        </w:placeholder>
      </w:sdtPr>
      <w:sdtEndPr/>
      <w:sdtContent>
        <w:p w14:paraId="06300250" w14:textId="0B9D1731" w:rsidR="00253F05" w:rsidRPr="00C803F3" w:rsidRDefault="00253F05" w:rsidP="00253F05">
          <w:pPr>
            <w:pStyle w:val="Title1"/>
          </w:pPr>
          <w:r>
            <w:t>Improvement Support to Councils</w:t>
          </w:r>
          <w:r w:rsidR="001E5ADF">
            <w:t xml:space="preserve"> - One Public Estate</w:t>
          </w:r>
        </w:p>
      </w:sdtContent>
    </w:sdt>
    <w:p w14:paraId="2323D1B6" w14:textId="625EF0EE" w:rsidR="009B6F95" w:rsidRPr="00C803F3" w:rsidRDefault="00495DE6" w:rsidP="003D7B8F">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70D32B1" w14:textId="052AA9D4" w:rsidR="00BB096D" w:rsidRDefault="00BB096D" w:rsidP="00B272E0">
      <w:pPr>
        <w:pStyle w:val="ListParagraph"/>
        <w:numPr>
          <w:ilvl w:val="0"/>
          <w:numId w:val="3"/>
        </w:numPr>
      </w:pPr>
      <w:r w:rsidRPr="00BB096D">
        <w:t xml:space="preserve">One Public Estate (OPE) was established </w:t>
      </w:r>
      <w:r w:rsidR="00003318">
        <w:t xml:space="preserve">in 2013 </w:t>
      </w:r>
      <w:r w:rsidRPr="00BB096D">
        <w:t>as a partnership programme between Cabinet Office and the Local Government Association (LGA) in 2013. The programme's aim is to encourage and support collaboration amongst public sector property owners to realise an efficient and effective use of the public estate, </w:t>
      </w:r>
      <w:proofErr w:type="gramStart"/>
      <w:r w:rsidRPr="00BB096D">
        <w:t>in order for</w:t>
      </w:r>
      <w:proofErr w:type="gramEnd"/>
      <w:r w:rsidRPr="00BB096D">
        <w:t> local needs such as housing and regeneration to be met by repurposing surplus public assets. </w:t>
      </w:r>
    </w:p>
    <w:p w14:paraId="490B348A" w14:textId="77777777" w:rsidR="00BB096D" w:rsidRDefault="00BB096D" w:rsidP="00BB096D">
      <w:pPr>
        <w:pStyle w:val="ListParagraph"/>
        <w:ind w:left="360"/>
      </w:pPr>
    </w:p>
    <w:p w14:paraId="65570981" w14:textId="5964CF26" w:rsidR="00BB096D" w:rsidRDefault="00BB096D" w:rsidP="00B272E0">
      <w:pPr>
        <w:pStyle w:val="ListParagraph"/>
        <w:numPr>
          <w:ilvl w:val="0"/>
          <w:numId w:val="3"/>
        </w:numPr>
      </w:pPr>
      <w:r w:rsidRPr="00BB096D">
        <w:t>Additionally</w:t>
      </w:r>
      <w:r w:rsidR="00A477E1">
        <w:t>,</w:t>
      </w:r>
      <w:r w:rsidR="004104FE">
        <w:t xml:space="preserve"> since 201</w:t>
      </w:r>
      <w:r w:rsidR="00003318">
        <w:t>8</w:t>
      </w:r>
      <w:r w:rsidR="004104FE">
        <w:t xml:space="preserve"> </w:t>
      </w:r>
      <w:r w:rsidRPr="00BB096D">
        <w:t>the programme</w:t>
      </w:r>
      <w:r w:rsidR="00003318">
        <w:t xml:space="preserve"> has</w:t>
      </w:r>
      <w:r w:rsidRPr="00BB096D">
        <w:t> deliver</w:t>
      </w:r>
      <w:r w:rsidR="00003318">
        <w:t>ed</w:t>
      </w:r>
      <w:r w:rsidRPr="00BB096D">
        <w:t xml:space="preserve"> the </w:t>
      </w:r>
      <w:r>
        <w:t xml:space="preserve">Land Release Funds, more latterly re-branded </w:t>
      </w:r>
      <w:r w:rsidRPr="00BB096D">
        <w:t>Brownfield Land Release Fund</w:t>
      </w:r>
      <w:r w:rsidR="00003318">
        <w:t>s</w:t>
      </w:r>
      <w:r w:rsidRPr="00BB096D">
        <w:t xml:space="preserve"> (BLRF)</w:t>
      </w:r>
      <w:r w:rsidR="00003318">
        <w:t>,</w:t>
      </w:r>
      <w:r w:rsidRPr="00BB096D">
        <w:t xml:space="preserve"> on behalf of </w:t>
      </w:r>
      <w:r w:rsidR="00003318">
        <w:t xml:space="preserve">the </w:t>
      </w:r>
      <w:r w:rsidRPr="00BB096D">
        <w:t>Department for Levelling Up, Housing and Communities</w:t>
      </w:r>
      <w:r>
        <w:t xml:space="preserve"> (DLUHC, formerly MHCLG).</w:t>
      </w:r>
    </w:p>
    <w:p w14:paraId="571487C8" w14:textId="77777777" w:rsidR="00BB096D" w:rsidRDefault="00BB096D" w:rsidP="00BB096D">
      <w:pPr>
        <w:pStyle w:val="ListParagraph"/>
      </w:pPr>
    </w:p>
    <w:p w14:paraId="319466A3" w14:textId="63452B98" w:rsidR="00297B5C" w:rsidRDefault="004104FE" w:rsidP="007D5628">
      <w:pPr>
        <w:pStyle w:val="ListParagraph"/>
        <w:numPr>
          <w:ilvl w:val="0"/>
          <w:numId w:val="3"/>
        </w:numPr>
      </w:pPr>
      <w:r>
        <w:t>One Public Esta</w:t>
      </w:r>
      <w:r w:rsidR="00003318">
        <w:t>t</w:t>
      </w:r>
      <w:r>
        <w:t xml:space="preserve">e </w:t>
      </w:r>
      <w:r w:rsidR="001E5ADF">
        <w:t>is jointly delivered by the LGA and the Cabinet Office</w:t>
      </w:r>
      <w:r w:rsidR="00297B5C">
        <w:t xml:space="preserve"> through a blended team, </w:t>
      </w:r>
      <w:r w:rsidR="009A1DF0">
        <w:t>part</w:t>
      </w:r>
      <w:r w:rsidR="00297B5C">
        <w:t xml:space="preserve"> working in the LGA and </w:t>
      </w:r>
      <w:r w:rsidR="009A1DF0">
        <w:t>part</w:t>
      </w:r>
      <w:r w:rsidR="00297B5C">
        <w:t xml:space="preserve"> in the Office of Government Property (</w:t>
      </w:r>
      <w:r w:rsidR="00455A46">
        <w:t xml:space="preserve">OGP), </w:t>
      </w:r>
      <w:r w:rsidR="00073502">
        <w:t xml:space="preserve">within </w:t>
      </w:r>
      <w:r w:rsidR="00455A46">
        <w:t xml:space="preserve">the </w:t>
      </w:r>
      <w:r w:rsidR="00297B5C">
        <w:t xml:space="preserve">Cabinet Office. </w:t>
      </w:r>
      <w:r w:rsidR="0066041F">
        <w:t>The programme provides practical and technical support, alongside revenue and capital funding, to public bodies.</w:t>
      </w:r>
    </w:p>
    <w:p w14:paraId="52A22CA5" w14:textId="77777777" w:rsidR="00252F19" w:rsidRDefault="00252F19" w:rsidP="00252F19">
      <w:pPr>
        <w:pStyle w:val="ListParagraph"/>
        <w:ind w:left="360"/>
      </w:pPr>
    </w:p>
    <w:p w14:paraId="44848DF4" w14:textId="598B5E01" w:rsidR="00252F19" w:rsidRPr="00252F19" w:rsidRDefault="00252F19" w:rsidP="00252F19">
      <w:pPr>
        <w:pStyle w:val="ListParagraph"/>
        <w:numPr>
          <w:ilvl w:val="0"/>
          <w:numId w:val="3"/>
        </w:numPr>
      </w:pPr>
      <w:r>
        <w:t>T</w:t>
      </w:r>
      <w:r w:rsidRPr="00252F19">
        <w:t xml:space="preserve">he OPE programme supports 69 </w:t>
      </w:r>
      <w:proofErr w:type="gramStart"/>
      <w:r w:rsidRPr="00252F19">
        <w:t>council-led</w:t>
      </w:r>
      <w:proofErr w:type="gramEnd"/>
      <w:r w:rsidRPr="00252F19">
        <w:t xml:space="preserve"> OPE Partnerships to develop and deliver portfolios of public property projects comprising:​</w:t>
      </w:r>
    </w:p>
    <w:p w14:paraId="53D07DE9" w14:textId="77777777" w:rsidR="003845CE" w:rsidRDefault="00252F19" w:rsidP="003845CE">
      <w:pPr>
        <w:pStyle w:val="ListParagraph"/>
        <w:numPr>
          <w:ilvl w:val="1"/>
          <w:numId w:val="3"/>
        </w:numPr>
      </w:pPr>
      <w:r w:rsidRPr="00252F19">
        <w:t xml:space="preserve">OPE projects - </w:t>
      </w:r>
      <w:r w:rsidR="001A057C">
        <w:t xml:space="preserve">revenue funding to support </w:t>
      </w:r>
      <w:r w:rsidRPr="00252F19">
        <w:t xml:space="preserve">central and local government partners to collaborate on shared estate needs and opportunities, </w:t>
      </w:r>
      <w:r w:rsidR="003845CE">
        <w:t>exploring options to improve efficiency in the public estate, and to release or repurpose surplus public land</w:t>
      </w:r>
    </w:p>
    <w:p w14:paraId="16A17953" w14:textId="007B3FD8" w:rsidR="00DA1D01" w:rsidRDefault="00252F19" w:rsidP="002F64AB">
      <w:pPr>
        <w:pStyle w:val="ListParagraph"/>
        <w:numPr>
          <w:ilvl w:val="1"/>
          <w:numId w:val="3"/>
        </w:numPr>
      </w:pPr>
      <w:r w:rsidRPr="00252F19">
        <w:t>LRF/BLRF projects - supporting the release of council-owned brownfield land for housing ​</w:t>
      </w:r>
      <w:r w:rsidR="00DA1D01">
        <w:t xml:space="preserve">with capital funding to bring surplus local authority land that is suitable for housing to a point of viability and delivery </w:t>
      </w:r>
    </w:p>
    <w:p w14:paraId="0B2C3E07" w14:textId="77777777" w:rsidR="00D61212" w:rsidRDefault="00D61212" w:rsidP="00D61212">
      <w:pPr>
        <w:pStyle w:val="ListParagraph"/>
        <w:ind w:left="792"/>
      </w:pPr>
    </w:p>
    <w:p w14:paraId="4F0E60D1" w14:textId="1B2442E2" w:rsidR="00F150F6" w:rsidRDefault="001E5ADF" w:rsidP="00B272E0">
      <w:pPr>
        <w:pStyle w:val="ListParagraph"/>
        <w:numPr>
          <w:ilvl w:val="0"/>
          <w:numId w:val="3"/>
        </w:numPr>
      </w:pPr>
      <w:r>
        <w:t xml:space="preserve">To date the programme has administered </w:t>
      </w:r>
      <w:r w:rsidR="003845CE">
        <w:t>nine</w:t>
      </w:r>
      <w:r>
        <w:t xml:space="preserve"> rounds of </w:t>
      </w:r>
      <w:r w:rsidR="001A054C">
        <w:t xml:space="preserve">OPE revenue </w:t>
      </w:r>
      <w:r>
        <w:t>funding totalling c.£</w:t>
      </w:r>
      <w:r w:rsidR="00B37EB7">
        <w:t>65</w:t>
      </w:r>
      <w:r>
        <w:t>m</w:t>
      </w:r>
      <w:r w:rsidR="001A054C">
        <w:t>,</w:t>
      </w:r>
      <w:r>
        <w:t xml:space="preserve"> and </w:t>
      </w:r>
      <w:r w:rsidR="006E406C">
        <w:t xml:space="preserve">three rounds of B/LRF capital funding </w:t>
      </w:r>
      <w:r w:rsidR="00EC5032">
        <w:t xml:space="preserve">totalling </w:t>
      </w:r>
      <w:r>
        <w:t>c.£</w:t>
      </w:r>
      <w:r w:rsidR="008F7E89">
        <w:t>156</w:t>
      </w:r>
      <w:r>
        <w:t>m</w:t>
      </w:r>
      <w:r w:rsidR="00EC5032">
        <w:t xml:space="preserve">. </w:t>
      </w:r>
      <w:r>
        <w:t xml:space="preserve"> </w:t>
      </w:r>
    </w:p>
    <w:p w14:paraId="19C68F67" w14:textId="77777777" w:rsidR="00F150F6" w:rsidRDefault="00F150F6" w:rsidP="00F150F6">
      <w:pPr>
        <w:pStyle w:val="ListParagraph"/>
        <w:ind w:left="360"/>
      </w:pPr>
    </w:p>
    <w:p w14:paraId="44AC3B4F" w14:textId="4EB909EE" w:rsidR="00C45D68" w:rsidRDefault="000E2DDF" w:rsidP="00B272E0">
      <w:pPr>
        <w:pStyle w:val="ListParagraph"/>
        <w:numPr>
          <w:ilvl w:val="0"/>
          <w:numId w:val="3"/>
        </w:numPr>
      </w:pPr>
      <w:r>
        <w:t xml:space="preserve">In July 2022 </w:t>
      </w:r>
      <w:r w:rsidR="00F150F6">
        <w:t>OPE</w:t>
      </w:r>
      <w:r w:rsidR="00F150F6" w:rsidRPr="00BC1A60">
        <w:t xml:space="preserve"> </w:t>
      </w:r>
      <w:r>
        <w:t xml:space="preserve">launched </w:t>
      </w:r>
      <w:r w:rsidR="009905F3">
        <w:t xml:space="preserve">the first £40m wave of </w:t>
      </w:r>
      <w:r w:rsidR="00C45D68">
        <w:t xml:space="preserve">the </w:t>
      </w:r>
      <w:r w:rsidR="00455A46">
        <w:t>£</w:t>
      </w:r>
      <w:r w:rsidR="009905F3">
        <w:t>180</w:t>
      </w:r>
      <w:r w:rsidR="00455A46">
        <w:t xml:space="preserve">m </w:t>
      </w:r>
      <w:r w:rsidR="00C45D68">
        <w:t xml:space="preserve">Brownfield Land Release Fund </w:t>
      </w:r>
      <w:r w:rsidR="009905F3">
        <w:t>2</w:t>
      </w:r>
      <w:r w:rsidR="001E184B">
        <w:t>, open</w:t>
      </w:r>
      <w:r w:rsidR="009905F3">
        <w:t xml:space="preserve"> </w:t>
      </w:r>
      <w:r w:rsidR="00C45D68">
        <w:t>for bids</w:t>
      </w:r>
      <w:r w:rsidR="001E184B">
        <w:t xml:space="preserve"> until 19</w:t>
      </w:r>
      <w:r w:rsidR="001E184B" w:rsidRPr="001E184B">
        <w:rPr>
          <w:vertAlign w:val="superscript"/>
        </w:rPr>
        <w:t>th</w:t>
      </w:r>
      <w:r w:rsidR="001E184B">
        <w:t xml:space="preserve"> August 2022</w:t>
      </w:r>
      <w:r>
        <w:t xml:space="preserve">. </w:t>
      </w:r>
      <w:r w:rsidR="00C45D68">
        <w:t xml:space="preserve"> </w:t>
      </w:r>
    </w:p>
    <w:p w14:paraId="1E6C2948" w14:textId="77777777" w:rsidR="00C45D68" w:rsidRDefault="00C45D68" w:rsidP="00C45D68">
      <w:pPr>
        <w:pStyle w:val="ListParagraph"/>
      </w:pPr>
    </w:p>
    <w:p w14:paraId="0171904A" w14:textId="01C05A13" w:rsidR="00F150F6" w:rsidRDefault="00455A46" w:rsidP="00B272E0">
      <w:pPr>
        <w:pStyle w:val="ListParagraph"/>
        <w:numPr>
          <w:ilvl w:val="0"/>
          <w:numId w:val="3"/>
        </w:numPr>
      </w:pPr>
      <w:r>
        <w:t xml:space="preserve">The programme continues to support both </w:t>
      </w:r>
      <w:r w:rsidR="001E184B">
        <w:t>Cabinet Office</w:t>
      </w:r>
      <w:r>
        <w:t xml:space="preserve">, and </w:t>
      </w:r>
      <w:r w:rsidR="00EC5032">
        <w:t>DLUHC</w:t>
      </w:r>
      <w:r w:rsidR="001E184B">
        <w:t>,</w:t>
      </w:r>
      <w:r>
        <w:t xml:space="preserve"> to understand the needs and opportunities related to public land</w:t>
      </w:r>
      <w:r w:rsidR="001E64ED">
        <w:t xml:space="preserve"> from a council perspective</w:t>
      </w:r>
      <w:r>
        <w:t xml:space="preserve">, and to explore, develop and </w:t>
      </w:r>
      <w:r w:rsidR="00F150F6">
        <w:t xml:space="preserve">design </w:t>
      </w:r>
      <w:r>
        <w:t xml:space="preserve">intervention </w:t>
      </w:r>
      <w:r w:rsidR="00F150F6">
        <w:t xml:space="preserve">approaches. </w:t>
      </w:r>
    </w:p>
    <w:p w14:paraId="0D043476" w14:textId="77777777" w:rsidR="003F4309" w:rsidRDefault="003F4309" w:rsidP="003F4309">
      <w:pPr>
        <w:pStyle w:val="ListParagraph"/>
        <w:ind w:left="360"/>
      </w:pPr>
    </w:p>
    <w:p w14:paraId="47E216D3" w14:textId="77777777" w:rsidR="001E184B" w:rsidRDefault="001E184B" w:rsidP="003F4309">
      <w:pPr>
        <w:ind w:left="0" w:firstLine="0"/>
        <w:rPr>
          <w:b/>
          <w:bCs/>
        </w:rPr>
      </w:pPr>
    </w:p>
    <w:p w14:paraId="5A0C239B" w14:textId="77777777" w:rsidR="001E184B" w:rsidRDefault="001E184B" w:rsidP="003F4309">
      <w:pPr>
        <w:ind w:left="0" w:firstLine="0"/>
        <w:rPr>
          <w:b/>
          <w:bCs/>
        </w:rPr>
      </w:pPr>
    </w:p>
    <w:p w14:paraId="6D88A769" w14:textId="47927E82" w:rsidR="003F4309" w:rsidRPr="003F4309" w:rsidRDefault="003F4309" w:rsidP="003F4309">
      <w:pPr>
        <w:ind w:left="0" w:firstLine="0"/>
        <w:rPr>
          <w:b/>
          <w:bCs/>
        </w:rPr>
      </w:pPr>
      <w:r w:rsidRPr="003F4309">
        <w:rPr>
          <w:b/>
          <w:bCs/>
        </w:rPr>
        <w:lastRenderedPageBreak/>
        <w:t>One Public Estate Programme Structure</w:t>
      </w:r>
    </w:p>
    <w:p w14:paraId="1EF4AD94" w14:textId="0599F0EF" w:rsidR="00F150F6" w:rsidRDefault="003F4309" w:rsidP="00B272E0">
      <w:pPr>
        <w:pStyle w:val="ListParagraph"/>
        <w:numPr>
          <w:ilvl w:val="0"/>
          <w:numId w:val="3"/>
        </w:numPr>
      </w:pPr>
      <w:r>
        <w:t xml:space="preserve">One Public Estate operates through a structure of </w:t>
      </w:r>
      <w:r w:rsidR="001E64ED">
        <w:t>69</w:t>
      </w:r>
      <w:r>
        <w:t xml:space="preserve"> local OPE partnerships. </w:t>
      </w:r>
      <w:r w:rsidR="000062CA">
        <w:t>Councils</w:t>
      </w:r>
      <w:r>
        <w:t xml:space="preserve"> act as the accountable bodies for these OPE partnership</w:t>
      </w:r>
      <w:r w:rsidR="00455A46">
        <w:t>s</w:t>
      </w:r>
      <w:r>
        <w:t xml:space="preserve">, convening a variety of public bodies in the locality </w:t>
      </w:r>
      <w:proofErr w:type="gramStart"/>
      <w:r>
        <w:t>in order to</w:t>
      </w:r>
      <w:proofErr w:type="gramEnd"/>
      <w:r>
        <w:t xml:space="preserve"> collaborate on public property matters. </w:t>
      </w:r>
    </w:p>
    <w:p w14:paraId="771C2BFA" w14:textId="0DAB5D32" w:rsidR="001A1956" w:rsidRDefault="001A1956" w:rsidP="001A1956">
      <w:pPr>
        <w:pStyle w:val="ListParagraph"/>
        <w:ind w:left="360"/>
      </w:pPr>
    </w:p>
    <w:p w14:paraId="27FC0518" w14:textId="0241A363" w:rsidR="001A1956" w:rsidRDefault="001A1956" w:rsidP="00B272E0">
      <w:pPr>
        <w:pStyle w:val="ListParagraph"/>
        <w:numPr>
          <w:ilvl w:val="0"/>
          <w:numId w:val="3"/>
        </w:numPr>
      </w:pPr>
      <w:r>
        <w:t>The public bodies involved</w:t>
      </w:r>
      <w:r w:rsidR="00455A46">
        <w:t xml:space="preserve"> alongside </w:t>
      </w:r>
      <w:r w:rsidR="0028563C">
        <w:t>councils</w:t>
      </w:r>
      <w:r>
        <w:t xml:space="preserve"> vary by locality, depending on property ownerships</w:t>
      </w:r>
      <w:r w:rsidR="00297B5C">
        <w:t xml:space="preserve"> and local ambitions</w:t>
      </w:r>
      <w:r>
        <w:t>, but typically involve blue light bodies, health bodies,</w:t>
      </w:r>
      <w:r w:rsidR="00455A46">
        <w:t xml:space="preserve"> and</w:t>
      </w:r>
      <w:r>
        <w:t xml:space="preserve"> central government departments with a local presence (DWP, MOJ, MOD</w:t>
      </w:r>
      <w:r w:rsidR="00DB6B1A">
        <w:t>)</w:t>
      </w:r>
      <w:r>
        <w:t>.</w:t>
      </w:r>
    </w:p>
    <w:p w14:paraId="1AC7EF1B" w14:textId="77777777" w:rsidR="001A1956" w:rsidRDefault="001A1956" w:rsidP="001A1956">
      <w:pPr>
        <w:pStyle w:val="ListParagraph"/>
        <w:ind w:left="360"/>
      </w:pPr>
    </w:p>
    <w:p w14:paraId="4F9B7AEE" w14:textId="461B64C5" w:rsidR="001A1956" w:rsidRDefault="001A1956" w:rsidP="00B272E0">
      <w:pPr>
        <w:pStyle w:val="ListParagraph"/>
        <w:numPr>
          <w:ilvl w:val="0"/>
          <w:numId w:val="3"/>
        </w:numPr>
      </w:pPr>
      <w:r>
        <w:t xml:space="preserve">Each OPE partnership sets a programme of work to review </w:t>
      </w:r>
      <w:r w:rsidR="00455A46">
        <w:t xml:space="preserve">local </w:t>
      </w:r>
      <w:r>
        <w:t xml:space="preserve">public property needs collaboratively, </w:t>
      </w:r>
      <w:proofErr w:type="gramStart"/>
      <w:r>
        <w:t>in order to</w:t>
      </w:r>
      <w:proofErr w:type="gramEnd"/>
      <w:r>
        <w:t xml:space="preserve"> identify opportunities for co</w:t>
      </w:r>
      <w:r w:rsidR="00455A46">
        <w:t>-</w:t>
      </w:r>
      <w:r>
        <w:t xml:space="preserve">locations, public service hubs, and other efficiencies, </w:t>
      </w:r>
      <w:r w:rsidR="00455A46">
        <w:t xml:space="preserve">and </w:t>
      </w:r>
      <w:r w:rsidR="009A1DF0">
        <w:t xml:space="preserve">with the aim of </w:t>
      </w:r>
      <w:r>
        <w:t>releas</w:t>
      </w:r>
      <w:r w:rsidR="009A1DF0">
        <w:t>ing</w:t>
      </w:r>
      <w:r>
        <w:t xml:space="preserve"> surplus public land for housing and regeneration purposes. Partners benefit from capital receipts and revenue savings where surplus land can be repurposed, as well as improved public service delivery</w:t>
      </w:r>
      <w:r w:rsidR="00725907">
        <w:t xml:space="preserve"> from co-locating public services</w:t>
      </w:r>
      <w:r>
        <w:t xml:space="preserve">. </w:t>
      </w:r>
      <w:r w:rsidR="0028563C">
        <w:t>Councils</w:t>
      </w:r>
      <w:r>
        <w:t xml:space="preserve"> also benefit from the ability to repurpose public land to meet local housing </w:t>
      </w:r>
      <w:r w:rsidR="003D5968">
        <w:t xml:space="preserve">and regeneration </w:t>
      </w:r>
      <w:r>
        <w:t xml:space="preserve">needs. </w:t>
      </w:r>
    </w:p>
    <w:p w14:paraId="42B3E81C" w14:textId="77777777" w:rsidR="00BD7022" w:rsidRDefault="00BD7022" w:rsidP="00BD7022">
      <w:pPr>
        <w:pStyle w:val="ListParagraph"/>
      </w:pPr>
    </w:p>
    <w:p w14:paraId="6CB15CAA" w14:textId="5C334220" w:rsidR="001A1956" w:rsidRPr="00BD7022" w:rsidRDefault="00BD7022" w:rsidP="00BD7022">
      <w:pPr>
        <w:ind w:left="0" w:firstLine="0"/>
        <w:rPr>
          <w:b/>
          <w:bCs/>
        </w:rPr>
      </w:pPr>
      <w:r w:rsidRPr="00BD7022">
        <w:rPr>
          <w:b/>
          <w:bCs/>
        </w:rPr>
        <w:t>One Public Estate Support</w:t>
      </w:r>
    </w:p>
    <w:p w14:paraId="1E60B53A" w14:textId="540FE8B2" w:rsidR="008031B8" w:rsidRDefault="0025105A" w:rsidP="00EE6955">
      <w:pPr>
        <w:pStyle w:val="ListParagraph"/>
        <w:numPr>
          <w:ilvl w:val="0"/>
          <w:numId w:val="3"/>
        </w:numPr>
      </w:pPr>
      <w:bookmarkStart w:id="1" w:name="_Hlk29805636"/>
      <w:r w:rsidRPr="0025105A">
        <w:t>The OPE programme helps central and local government partners work together to explore and develop joint property projects. Thirteen government departments, 320 councils and hundreds of other public sector bodies, such as health and blue light organisations, are involved.​</w:t>
      </w:r>
      <w:r>
        <w:t xml:space="preserve"> </w:t>
      </w:r>
    </w:p>
    <w:p w14:paraId="6E19A64E" w14:textId="33A56691" w:rsidR="008031B8" w:rsidRDefault="008031B8" w:rsidP="00BE7AF9">
      <w:pPr>
        <w:pStyle w:val="ListParagraph"/>
        <w:ind w:left="360"/>
      </w:pPr>
    </w:p>
    <w:p w14:paraId="1BF92C64" w14:textId="48D7A520" w:rsidR="003F4309" w:rsidRDefault="008031B8" w:rsidP="00C250CE">
      <w:pPr>
        <w:pStyle w:val="ListParagraph"/>
        <w:numPr>
          <w:ilvl w:val="0"/>
          <w:numId w:val="3"/>
        </w:numPr>
      </w:pPr>
      <w:r>
        <w:t>The O</w:t>
      </w:r>
      <w:r w:rsidR="00BE7AF9">
        <w:t>PE</w:t>
      </w:r>
      <w:r>
        <w:t xml:space="preserve"> offer includes financial support, peer support, plus practical and technical advice and brokering from the OPE team. </w:t>
      </w:r>
      <w:r w:rsidR="00297B5C">
        <w:t xml:space="preserve"> OPE grants </w:t>
      </w:r>
      <w:r w:rsidR="003F4309">
        <w:t xml:space="preserve">typically fund feasibility studies, masterplans and other technical studies, plus local authority capacity. </w:t>
      </w:r>
    </w:p>
    <w:p w14:paraId="62940DBB" w14:textId="77777777" w:rsidR="00297B5C" w:rsidRDefault="00297B5C" w:rsidP="00297B5C">
      <w:pPr>
        <w:pStyle w:val="ListParagraph"/>
        <w:ind w:left="360"/>
      </w:pPr>
    </w:p>
    <w:p w14:paraId="3CC9AF02" w14:textId="495767BE" w:rsidR="00512262" w:rsidRDefault="00297B5C" w:rsidP="00FC502D">
      <w:pPr>
        <w:pStyle w:val="ListParagraph"/>
        <w:numPr>
          <w:ilvl w:val="0"/>
          <w:numId w:val="3"/>
        </w:numPr>
      </w:pPr>
      <w:r>
        <w:t xml:space="preserve">To date the programme has administered </w:t>
      </w:r>
      <w:r w:rsidR="00455E25">
        <w:t xml:space="preserve">nine </w:t>
      </w:r>
      <w:r>
        <w:t>rounds of OPE revenue funding totalling c.£</w:t>
      </w:r>
      <w:r w:rsidR="00455E25">
        <w:t>65</w:t>
      </w:r>
      <w:r>
        <w:t>m and supporting c.7</w:t>
      </w:r>
      <w:r w:rsidR="00455E25">
        <w:t>5</w:t>
      </w:r>
      <w:r>
        <w:t>0 projects.</w:t>
      </w:r>
      <w:r w:rsidR="00BE7AF9" w:rsidRPr="00BE7AF9">
        <w:t xml:space="preserve"> </w:t>
      </w:r>
      <w:r w:rsidR="00BE7AF9">
        <w:t>OPE project</w:t>
      </w:r>
      <w:r w:rsidR="000E3C6F">
        <w:t>s</w:t>
      </w:r>
      <w:r w:rsidR="00BE7AF9">
        <w:t xml:space="preserve"> ra</w:t>
      </w:r>
      <w:r w:rsidR="00C1471E">
        <w:t>n</w:t>
      </w:r>
      <w:r w:rsidR="00BE7AF9">
        <w:t xml:space="preserve">ge from </w:t>
      </w:r>
      <w:r w:rsidR="00BE7AF9" w:rsidRPr="00BE7AF9">
        <w:t>station regeneration projects to public service hubs to garden communities.</w:t>
      </w:r>
    </w:p>
    <w:p w14:paraId="211947DF" w14:textId="77777777" w:rsidR="000E3C6F" w:rsidRDefault="000E3C6F" w:rsidP="000E3C6F">
      <w:pPr>
        <w:pStyle w:val="ListParagraph"/>
      </w:pPr>
    </w:p>
    <w:p w14:paraId="69C6D433" w14:textId="2EFE15F6" w:rsidR="00D210DF" w:rsidRDefault="000E3C6F" w:rsidP="00E31DB1">
      <w:pPr>
        <w:pStyle w:val="ListParagraph"/>
        <w:numPr>
          <w:ilvl w:val="0"/>
          <w:numId w:val="3"/>
        </w:numPr>
      </w:pPr>
      <w:r>
        <w:t xml:space="preserve">These </w:t>
      </w:r>
      <w:r w:rsidRPr="000E3C6F">
        <w:t>projects are realising significant benefits from OPE investment: delivering capital receipts for reinvestment and reducing running costs for improved public sector efficiency; providing land for homes and jobs; and improving public service delivery.​</w:t>
      </w:r>
    </w:p>
    <w:p w14:paraId="2CAD49C6" w14:textId="77777777" w:rsidR="00DB6B1A" w:rsidRDefault="00DB6B1A" w:rsidP="00DB6B1A">
      <w:pPr>
        <w:pStyle w:val="ListParagraph"/>
      </w:pPr>
    </w:p>
    <w:p w14:paraId="53F100E8" w14:textId="77777777" w:rsidR="00DB6B1A" w:rsidRPr="007E24AC" w:rsidRDefault="00DB6B1A" w:rsidP="00DB6B1A">
      <w:pPr>
        <w:pStyle w:val="ListParagraph"/>
        <w:numPr>
          <w:ilvl w:val="1"/>
          <w:numId w:val="3"/>
        </w:numPr>
        <w:rPr>
          <w:rFonts w:cs="Arial"/>
          <w:i/>
          <w:lang w:eastAsia="en-GB"/>
        </w:rPr>
      </w:pPr>
      <w:r>
        <w:rPr>
          <w:rFonts w:cs="Arial"/>
          <w:iCs/>
          <w:lang w:eastAsia="en-GB"/>
        </w:rPr>
        <w:t>the ability to link public property to support place agendas – for example town centre regeneration.</w:t>
      </w:r>
    </w:p>
    <w:p w14:paraId="5FBCABFB" w14:textId="77777777" w:rsidR="00DB6B1A" w:rsidRPr="007E24AC" w:rsidRDefault="00DB6B1A" w:rsidP="00DB6B1A">
      <w:pPr>
        <w:pStyle w:val="ListParagraph"/>
        <w:ind w:left="792"/>
        <w:rPr>
          <w:rFonts w:cs="Arial"/>
          <w:i/>
          <w:lang w:eastAsia="en-GB"/>
        </w:rPr>
      </w:pPr>
    </w:p>
    <w:p w14:paraId="15572665" w14:textId="4FCAE7A6" w:rsidR="00D210DF" w:rsidRDefault="00BA3160" w:rsidP="00D210DF">
      <w:r>
        <w:rPr>
          <w:noProof/>
        </w:rPr>
        <w:lastRenderedPageBreak/>
        <w:drawing>
          <wp:anchor distT="0" distB="0" distL="114300" distR="114300" simplePos="0" relativeHeight="251664384" behindDoc="0" locked="0" layoutInCell="1" allowOverlap="1" wp14:anchorId="0B25555D" wp14:editId="35DA621D">
            <wp:simplePos x="0" y="0"/>
            <wp:positionH relativeFrom="margin">
              <wp:posOffset>637540</wp:posOffset>
            </wp:positionH>
            <wp:positionV relativeFrom="paragraph">
              <wp:posOffset>13335</wp:posOffset>
            </wp:positionV>
            <wp:extent cx="4105275" cy="3054350"/>
            <wp:effectExtent l="0" t="0" r="9525" b="0"/>
            <wp:wrapThrough wrapText="bothSides">
              <wp:wrapPolygon edited="0">
                <wp:start x="0" y="0"/>
                <wp:lineTo x="0" y="21420"/>
                <wp:lineTo x="21550" y="21420"/>
                <wp:lineTo x="21550" y="0"/>
                <wp:lineTo x="0" y="0"/>
              </wp:wrapPolygon>
            </wp:wrapThrough>
            <wp:docPr id="12" name="Picture 12" descr="A picture containing text, outdoo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outdoor,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105275" cy="3054350"/>
                    </a:xfrm>
                    <a:prstGeom prst="rect">
                      <a:avLst/>
                    </a:prstGeom>
                  </pic:spPr>
                </pic:pic>
              </a:graphicData>
            </a:graphic>
            <wp14:sizeRelH relativeFrom="page">
              <wp14:pctWidth>0</wp14:pctWidth>
            </wp14:sizeRelH>
            <wp14:sizeRelV relativeFrom="page">
              <wp14:pctHeight>0</wp14:pctHeight>
            </wp14:sizeRelV>
          </wp:anchor>
        </w:drawing>
      </w:r>
    </w:p>
    <w:p w14:paraId="5AD897E8" w14:textId="20B17C00" w:rsidR="00383A0E" w:rsidRDefault="00383A0E" w:rsidP="00D210DF"/>
    <w:p w14:paraId="7110AF4B" w14:textId="7042BF05" w:rsidR="00383A0E" w:rsidRDefault="00383A0E" w:rsidP="00D210DF"/>
    <w:p w14:paraId="3304AC02" w14:textId="5547AA48" w:rsidR="00383A0E" w:rsidRDefault="00383A0E" w:rsidP="00D210DF"/>
    <w:p w14:paraId="395C7907" w14:textId="2B9BD876" w:rsidR="00383A0E" w:rsidRDefault="00383A0E" w:rsidP="00D210DF"/>
    <w:p w14:paraId="14CBF552" w14:textId="712A89FD" w:rsidR="00383A0E" w:rsidRDefault="00383A0E" w:rsidP="00D210DF"/>
    <w:p w14:paraId="08D652A4" w14:textId="568D0BEF" w:rsidR="00D210DF" w:rsidRDefault="00D210DF" w:rsidP="00D210DF"/>
    <w:p w14:paraId="59A64FBD" w14:textId="77777777" w:rsidR="00D210DF" w:rsidRDefault="00D210DF" w:rsidP="00D210DF"/>
    <w:p w14:paraId="5195C106" w14:textId="77777777" w:rsidR="003F4309" w:rsidRDefault="003F4309" w:rsidP="003F4309">
      <w:pPr>
        <w:pStyle w:val="ListParagraph"/>
        <w:ind w:left="360"/>
      </w:pPr>
    </w:p>
    <w:p w14:paraId="30FF0EC7" w14:textId="77777777" w:rsidR="00DB6B1A" w:rsidRDefault="00DB6B1A" w:rsidP="00DB6B1A">
      <w:pPr>
        <w:pStyle w:val="ListParagraph"/>
        <w:ind w:left="360"/>
      </w:pPr>
    </w:p>
    <w:p w14:paraId="05621329" w14:textId="77777777" w:rsidR="00DB6B1A" w:rsidRDefault="00DB6B1A" w:rsidP="00DB6B1A">
      <w:pPr>
        <w:pStyle w:val="ListParagraph"/>
        <w:ind w:left="360"/>
      </w:pPr>
    </w:p>
    <w:p w14:paraId="097EEE8B" w14:textId="77777777" w:rsidR="00DB6B1A" w:rsidRDefault="00DB6B1A" w:rsidP="00DB6B1A">
      <w:pPr>
        <w:pStyle w:val="ListParagraph"/>
        <w:ind w:left="360"/>
      </w:pPr>
    </w:p>
    <w:p w14:paraId="2EEE126E" w14:textId="77777777" w:rsidR="00DB6B1A" w:rsidRDefault="00DB6B1A" w:rsidP="00DB6B1A">
      <w:pPr>
        <w:pStyle w:val="ListParagraph"/>
        <w:ind w:left="360"/>
      </w:pPr>
    </w:p>
    <w:p w14:paraId="569C9031" w14:textId="77777777" w:rsidR="00DB6B1A" w:rsidRDefault="00DB6B1A" w:rsidP="00DB6B1A">
      <w:pPr>
        <w:pStyle w:val="ListParagraph"/>
        <w:ind w:left="360"/>
      </w:pPr>
    </w:p>
    <w:p w14:paraId="3EBA4486" w14:textId="77777777" w:rsidR="00F46AD5" w:rsidRPr="007E24AC" w:rsidRDefault="00F46AD5" w:rsidP="00F46AD5">
      <w:pPr>
        <w:pStyle w:val="ListParagraph"/>
        <w:numPr>
          <w:ilvl w:val="0"/>
          <w:numId w:val="3"/>
        </w:numPr>
        <w:rPr>
          <w:rFonts w:cs="Arial"/>
          <w:lang w:eastAsia="en-GB"/>
        </w:rPr>
      </w:pPr>
      <w:r w:rsidRPr="007E24AC">
        <w:rPr>
          <w:rFonts w:cs="Arial"/>
          <w:lang w:eastAsia="en-GB"/>
        </w:rPr>
        <w:t>Equally as valuable have been the softer benefits. These include:</w:t>
      </w:r>
    </w:p>
    <w:p w14:paraId="0AE39C87" w14:textId="77777777" w:rsidR="00F46AD5" w:rsidRDefault="00F46AD5" w:rsidP="00F46AD5">
      <w:pPr>
        <w:pStyle w:val="ListParagraph"/>
        <w:numPr>
          <w:ilvl w:val="1"/>
          <w:numId w:val="3"/>
        </w:numPr>
        <w:rPr>
          <w:rFonts w:cs="Arial"/>
          <w:lang w:eastAsia="en-GB"/>
        </w:rPr>
      </w:pPr>
      <w:r w:rsidRPr="007E24AC">
        <w:rPr>
          <w:rFonts w:cs="Arial"/>
          <w:lang w:eastAsia="en-GB"/>
        </w:rPr>
        <w:t xml:space="preserve">enabling local authorities to </w:t>
      </w:r>
      <w:r>
        <w:rPr>
          <w:rFonts w:cs="Arial"/>
          <w:lang w:eastAsia="en-GB"/>
        </w:rPr>
        <w:t xml:space="preserve">have some </w:t>
      </w:r>
      <w:r w:rsidRPr="007E24AC">
        <w:rPr>
          <w:rFonts w:cs="Arial"/>
          <w:lang w:eastAsia="en-GB"/>
        </w:rPr>
        <w:t xml:space="preserve">control </w:t>
      </w:r>
      <w:r>
        <w:rPr>
          <w:rFonts w:cs="Arial"/>
          <w:lang w:eastAsia="en-GB"/>
        </w:rPr>
        <w:t xml:space="preserve">over </w:t>
      </w:r>
      <w:r w:rsidRPr="007E24AC">
        <w:rPr>
          <w:rFonts w:cs="Arial"/>
          <w:lang w:eastAsia="en-GB"/>
        </w:rPr>
        <w:t>the supply of land for housing</w:t>
      </w:r>
    </w:p>
    <w:p w14:paraId="58F8A455" w14:textId="77777777" w:rsidR="00F46AD5" w:rsidRPr="007E24AC" w:rsidRDefault="00F46AD5" w:rsidP="00F46AD5">
      <w:pPr>
        <w:pStyle w:val="ListParagraph"/>
        <w:numPr>
          <w:ilvl w:val="1"/>
          <w:numId w:val="3"/>
        </w:numPr>
        <w:rPr>
          <w:rFonts w:cs="Arial"/>
          <w:lang w:eastAsia="en-GB"/>
        </w:rPr>
      </w:pPr>
      <w:r>
        <w:rPr>
          <w:rFonts w:cs="Arial"/>
          <w:lang w:eastAsia="en-GB"/>
        </w:rPr>
        <w:t>the ability to support SME’s and local supply chains</w:t>
      </w:r>
    </w:p>
    <w:p w14:paraId="55C5410C" w14:textId="77777777" w:rsidR="00F46AD5" w:rsidRPr="007E24AC" w:rsidRDefault="00F46AD5" w:rsidP="00F46AD5">
      <w:pPr>
        <w:pStyle w:val="ListParagraph"/>
        <w:numPr>
          <w:ilvl w:val="1"/>
          <w:numId w:val="3"/>
        </w:numPr>
        <w:rPr>
          <w:rFonts w:cs="Arial"/>
          <w:lang w:eastAsia="en-GB"/>
        </w:rPr>
      </w:pPr>
      <w:r w:rsidRPr="007E24AC">
        <w:rPr>
          <w:rFonts w:cs="Arial"/>
          <w:lang w:eastAsia="en-GB"/>
        </w:rPr>
        <w:t>enabling local authorities to connect and engage with harder to reach parts of government</w:t>
      </w:r>
    </w:p>
    <w:p w14:paraId="0B5D3FFB" w14:textId="77777777" w:rsidR="00F46AD5" w:rsidRPr="007E24AC" w:rsidRDefault="00F46AD5" w:rsidP="00F46AD5">
      <w:pPr>
        <w:pStyle w:val="ListParagraph"/>
        <w:numPr>
          <w:ilvl w:val="1"/>
          <w:numId w:val="3"/>
        </w:numPr>
        <w:rPr>
          <w:rFonts w:cs="Arial"/>
          <w:lang w:eastAsia="en-GB"/>
        </w:rPr>
      </w:pPr>
      <w:r w:rsidRPr="007E24AC">
        <w:rPr>
          <w:rFonts w:cs="Arial"/>
          <w:lang w:eastAsia="en-GB"/>
        </w:rPr>
        <w:t>the ability to share problem solving and best practise between councils and other public bodies</w:t>
      </w:r>
    </w:p>
    <w:p w14:paraId="569F778D" w14:textId="77777777" w:rsidR="00F46AD5" w:rsidRDefault="00F46AD5" w:rsidP="00F46AD5">
      <w:pPr>
        <w:pStyle w:val="ListParagraph"/>
        <w:ind w:left="360"/>
      </w:pPr>
    </w:p>
    <w:p w14:paraId="776232AD" w14:textId="136C32C3" w:rsidR="00DB6B1A" w:rsidRPr="001A18C2" w:rsidRDefault="00DB6B1A" w:rsidP="00DB6B1A">
      <w:pPr>
        <w:pStyle w:val="ListParagraph"/>
        <w:numPr>
          <w:ilvl w:val="0"/>
          <w:numId w:val="3"/>
        </w:numPr>
      </w:pPr>
      <w:r>
        <w:t>During 2021/22 OPE also provided support to 47 OPE partnerships in the form of the</w:t>
      </w:r>
      <w:r w:rsidRPr="003E1B7A">
        <w:t xml:space="preserve"> Opportunity Development Fund</w:t>
      </w:r>
      <w:r>
        <w:t xml:space="preserve">. This revenue support </w:t>
      </w:r>
      <w:r w:rsidRPr="003E1B7A">
        <w:t xml:space="preserve">provided capacity for OPE Partnerships in areas of greatest need to refresh thinking around estate collaboration </w:t>
      </w:r>
      <w:r w:rsidRPr="001A18C2">
        <w:t>opportunities post pandemic and develop project pipelines for investment. </w:t>
      </w:r>
    </w:p>
    <w:p w14:paraId="6342090D" w14:textId="0D3F19D3" w:rsidR="00DB6B1A" w:rsidRDefault="00DB6B1A" w:rsidP="00DB6B1A">
      <w:pPr>
        <w:pStyle w:val="ListParagraph"/>
        <w:ind w:left="360"/>
      </w:pPr>
    </w:p>
    <w:p w14:paraId="644F8394" w14:textId="17889AD4" w:rsidR="00DB6B1A" w:rsidRDefault="00DB6B1A" w:rsidP="00DB6B1A">
      <w:pPr>
        <w:ind w:left="360" w:hanging="360"/>
      </w:pPr>
      <w:r>
        <w:rPr>
          <w:rFonts w:eastAsiaTheme="minorEastAsia" w:cs="Arial"/>
          <w:b/>
          <w:lang w:eastAsia="ja-JP"/>
        </w:rPr>
        <w:t>Brownfield/Land Release Fund</w:t>
      </w:r>
      <w:r w:rsidR="008E2E3E">
        <w:rPr>
          <w:rFonts w:eastAsiaTheme="minorEastAsia" w:cs="Arial"/>
          <w:b/>
          <w:lang w:eastAsia="ja-JP"/>
        </w:rPr>
        <w:t xml:space="preserve"> Support</w:t>
      </w:r>
    </w:p>
    <w:p w14:paraId="1361900A" w14:textId="3B21DF13" w:rsidR="009972CB" w:rsidRPr="009972CB" w:rsidRDefault="009972CB" w:rsidP="009972CB">
      <w:pPr>
        <w:pStyle w:val="ListParagraph"/>
        <w:numPr>
          <w:ilvl w:val="0"/>
          <w:numId w:val="3"/>
        </w:numPr>
      </w:pPr>
      <w:r w:rsidRPr="009972CB">
        <w:t>Since 2018 the Department for Levelling Up, Housing and Communities (and its predecessor MHCLG) have worked with OPE to deliver three rounds of</w:t>
      </w:r>
      <w:r w:rsidR="009607A9">
        <w:t xml:space="preserve"> Brownfield/</w:t>
      </w:r>
      <w:r w:rsidRPr="009972CB">
        <w:t xml:space="preserve"> Land Release Funding, totalling </w:t>
      </w:r>
      <w:r w:rsidR="001A18C2">
        <w:t>£15</w:t>
      </w:r>
      <w:r w:rsidR="005A5A29" w:rsidRPr="001A18C2">
        <w:t>6</w:t>
      </w:r>
      <w:r w:rsidR="001A18C2">
        <w:t>m</w:t>
      </w:r>
      <w:r w:rsidR="003E0A81">
        <w:t xml:space="preserve"> and supporting c.320 projects</w:t>
      </w:r>
      <w:r w:rsidRPr="009972CB">
        <w:t>, through the network of OPE partnerships. </w:t>
      </w:r>
    </w:p>
    <w:p w14:paraId="0F724397" w14:textId="77777777" w:rsidR="009972CB" w:rsidRDefault="009972CB" w:rsidP="009972CB">
      <w:pPr>
        <w:pStyle w:val="ListParagraph"/>
        <w:ind w:left="360"/>
      </w:pPr>
    </w:p>
    <w:p w14:paraId="5C700430" w14:textId="57BAA355" w:rsidR="003F4309" w:rsidRDefault="00455E25" w:rsidP="00201378">
      <w:pPr>
        <w:pStyle w:val="ListParagraph"/>
        <w:numPr>
          <w:ilvl w:val="0"/>
          <w:numId w:val="3"/>
        </w:numPr>
      </w:pPr>
      <w:r w:rsidRPr="004B7740">
        <w:t>B/</w:t>
      </w:r>
      <w:r w:rsidR="003F4309" w:rsidRPr="004B7740">
        <w:t xml:space="preserve">LRF </w:t>
      </w:r>
      <w:r w:rsidR="003C462C" w:rsidRPr="004B7740">
        <w:t>unlocks council-owned sites for housing, particularly brownfield, providing capital funding to address viability issues</w:t>
      </w:r>
      <w:r w:rsidR="004B7740">
        <w:t>.</w:t>
      </w:r>
      <w:r w:rsidR="003C462C" w:rsidRPr="004B7740">
        <w:t xml:space="preserve"> Councils are enabled to accelerate the release of land for new homes and deliver housing at pace - to meet local needs such as affordable or extra care homes.</w:t>
      </w:r>
      <w:r w:rsidR="00B54712">
        <w:t xml:space="preserve"> </w:t>
      </w:r>
      <w:r w:rsidR="00297B5C">
        <w:t xml:space="preserve">Typical works funded </w:t>
      </w:r>
      <w:proofErr w:type="gramStart"/>
      <w:r w:rsidR="00297B5C">
        <w:t>include:</w:t>
      </w:r>
      <w:proofErr w:type="gramEnd"/>
      <w:r w:rsidR="00297B5C">
        <w:t xml:space="preserve"> </w:t>
      </w:r>
      <w:r w:rsidR="003F4309">
        <w:t xml:space="preserve">abnormal costs related to </w:t>
      </w:r>
      <w:r w:rsidR="003F4309">
        <w:lastRenderedPageBreak/>
        <w:t>contamination, demolition of obsolete buildings, abnormal utilities costs, highways requirements and so forth.</w:t>
      </w:r>
    </w:p>
    <w:p w14:paraId="0B9B3ADC" w14:textId="77777777" w:rsidR="00B54712" w:rsidRDefault="00B54712" w:rsidP="00B54712">
      <w:pPr>
        <w:pStyle w:val="ListParagraph"/>
      </w:pPr>
    </w:p>
    <w:p w14:paraId="2E18E1CD" w14:textId="7B3CDABA" w:rsidR="00B54712" w:rsidRDefault="00B54712" w:rsidP="00201378">
      <w:pPr>
        <w:pStyle w:val="ListParagraph"/>
        <w:numPr>
          <w:ilvl w:val="0"/>
          <w:numId w:val="3"/>
        </w:numPr>
      </w:pPr>
      <w:r>
        <w:t>BLRF</w:t>
      </w:r>
      <w:r w:rsidR="000B4A13">
        <w:t xml:space="preserve">, awarded to councils in 2021/22, also supported </w:t>
      </w:r>
      <w:r w:rsidR="007C30B9">
        <w:t xml:space="preserve">54 </w:t>
      </w:r>
      <w:r w:rsidR="000B4A13">
        <w:t>council</w:t>
      </w:r>
      <w:r w:rsidR="007C30B9">
        <w:t xml:space="preserve"> projects </w:t>
      </w:r>
      <w:r w:rsidR="000B4A13">
        <w:t>to release land for Self and Custom Build plots</w:t>
      </w:r>
      <w:r w:rsidR="007C30B9">
        <w:t>.</w:t>
      </w:r>
    </w:p>
    <w:p w14:paraId="5C5E72B6" w14:textId="77777777" w:rsidR="007C30B9" w:rsidRDefault="007C30B9" w:rsidP="007C30B9">
      <w:pPr>
        <w:pStyle w:val="ListParagraph"/>
      </w:pPr>
    </w:p>
    <w:p w14:paraId="689FFA9E" w14:textId="155C011C" w:rsidR="007C30B9" w:rsidRDefault="002355FD" w:rsidP="007B181A">
      <w:pPr>
        <w:pStyle w:val="ListParagraph"/>
        <w:numPr>
          <w:ilvl w:val="0"/>
          <w:numId w:val="3"/>
        </w:numPr>
      </w:pPr>
      <w:r>
        <w:t>In addition, OPE has help</w:t>
      </w:r>
      <w:r w:rsidR="00B551DD">
        <w:t xml:space="preserve">ed DLUHC to pilot an Estate Regeneration scheme, providing capital to 14 council-led estate regeneration schemes. </w:t>
      </w:r>
    </w:p>
    <w:p w14:paraId="1553B6D7" w14:textId="77777777" w:rsidR="007D5B88" w:rsidRDefault="007D5B88" w:rsidP="007D5B88">
      <w:pPr>
        <w:pStyle w:val="ListParagraph"/>
      </w:pPr>
    </w:p>
    <w:p w14:paraId="54C64A18" w14:textId="4A9242DF" w:rsidR="007D5B88" w:rsidRPr="007D5B88" w:rsidRDefault="007D5B88" w:rsidP="007D5B88">
      <w:pPr>
        <w:pStyle w:val="ListParagraph"/>
        <w:numPr>
          <w:ilvl w:val="0"/>
          <w:numId w:val="3"/>
        </w:numPr>
      </w:pPr>
      <w:r w:rsidRPr="007D5B88">
        <w:t xml:space="preserve">LRF projects are expected to deliver </w:t>
      </w:r>
      <w:r>
        <w:t xml:space="preserve">15,663 </w:t>
      </w:r>
      <w:r w:rsidRPr="007D5B88">
        <w:t xml:space="preserve">homes by 2024, with a typical cost of </w:t>
      </w:r>
      <w:r w:rsidR="00F33C6F">
        <w:t>£11,8723</w:t>
      </w:r>
      <w:r w:rsidRPr="007D5B88">
        <w:t xml:space="preserve"> per home enabled. As of March 2022</w:t>
      </w:r>
      <w:r w:rsidR="00905342">
        <w:t>,</w:t>
      </w:r>
      <w:r w:rsidRPr="007D5B88">
        <w:t xml:space="preserve"> </w:t>
      </w:r>
      <w:proofErr w:type="gramStart"/>
      <w:r w:rsidRPr="007D5B88">
        <w:t>a number of</w:t>
      </w:r>
      <w:proofErr w:type="gramEnd"/>
      <w:r w:rsidRPr="007D5B88">
        <w:t xml:space="preserve"> projects have now released land, with some </w:t>
      </w:r>
      <w:r w:rsidR="00F33C6F">
        <w:t xml:space="preserve">also </w:t>
      </w:r>
      <w:r w:rsidRPr="007D5B88">
        <w:t>having homes now completed.</w:t>
      </w:r>
    </w:p>
    <w:p w14:paraId="3395CFDA" w14:textId="77777777" w:rsidR="007D5B88" w:rsidRDefault="007D5B88" w:rsidP="007D5B88">
      <w:pPr>
        <w:pStyle w:val="ListParagraph"/>
        <w:ind w:left="360"/>
      </w:pPr>
    </w:p>
    <w:p w14:paraId="1CB8BCA5" w14:textId="10B37114" w:rsidR="003F4309" w:rsidRDefault="003F4309" w:rsidP="00297B5C">
      <w:pPr>
        <w:pStyle w:val="ListParagraph"/>
        <w:ind w:left="360"/>
      </w:pPr>
    </w:p>
    <w:p w14:paraId="4F05D672" w14:textId="167F5D8E" w:rsidR="009F34EC" w:rsidRDefault="009F34EC" w:rsidP="00297B5C">
      <w:pPr>
        <w:pStyle w:val="ListParagraph"/>
        <w:ind w:left="360"/>
      </w:pPr>
      <w:r>
        <w:rPr>
          <w:noProof/>
        </w:rPr>
        <w:drawing>
          <wp:anchor distT="0" distB="0" distL="114300" distR="114300" simplePos="0" relativeHeight="251665408" behindDoc="0" locked="0" layoutInCell="1" allowOverlap="1" wp14:anchorId="6413519C" wp14:editId="701430D4">
            <wp:simplePos x="0" y="0"/>
            <wp:positionH relativeFrom="margin">
              <wp:align>center</wp:align>
            </wp:positionH>
            <wp:positionV relativeFrom="paragraph">
              <wp:posOffset>10795</wp:posOffset>
            </wp:positionV>
            <wp:extent cx="4679950" cy="2152015"/>
            <wp:effectExtent l="0" t="0" r="6350" b="635"/>
            <wp:wrapThrough wrapText="bothSides">
              <wp:wrapPolygon edited="0">
                <wp:start x="0" y="0"/>
                <wp:lineTo x="0" y="21415"/>
                <wp:lineTo x="21541" y="21415"/>
                <wp:lineTo x="21541" y="0"/>
                <wp:lineTo x="0" y="0"/>
              </wp:wrapPolygon>
            </wp:wrapThrough>
            <wp:docPr id="13" name="Picture 1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4679950" cy="2152015"/>
                    </a:xfrm>
                    <a:prstGeom prst="rect">
                      <a:avLst/>
                    </a:prstGeom>
                  </pic:spPr>
                </pic:pic>
              </a:graphicData>
            </a:graphic>
            <wp14:sizeRelH relativeFrom="page">
              <wp14:pctWidth>0</wp14:pctWidth>
            </wp14:sizeRelH>
            <wp14:sizeRelV relativeFrom="page">
              <wp14:pctHeight>0</wp14:pctHeight>
            </wp14:sizeRelV>
          </wp:anchor>
        </w:drawing>
      </w:r>
    </w:p>
    <w:p w14:paraId="734A339E" w14:textId="452AD021" w:rsidR="009F34EC" w:rsidRDefault="009F34EC" w:rsidP="00297B5C">
      <w:pPr>
        <w:pStyle w:val="ListParagraph"/>
        <w:ind w:left="360"/>
      </w:pPr>
    </w:p>
    <w:p w14:paraId="69B91D03" w14:textId="15AEB80B" w:rsidR="009F34EC" w:rsidRDefault="009F34EC" w:rsidP="00297B5C">
      <w:pPr>
        <w:pStyle w:val="ListParagraph"/>
        <w:ind w:left="360"/>
      </w:pPr>
    </w:p>
    <w:p w14:paraId="5023C18B" w14:textId="731477D3" w:rsidR="009F34EC" w:rsidRDefault="009F34EC" w:rsidP="00297B5C">
      <w:pPr>
        <w:pStyle w:val="ListParagraph"/>
        <w:ind w:left="360"/>
      </w:pPr>
    </w:p>
    <w:p w14:paraId="39B3CA5D" w14:textId="67153BC4" w:rsidR="009F34EC" w:rsidRDefault="009F34EC" w:rsidP="00297B5C">
      <w:pPr>
        <w:pStyle w:val="ListParagraph"/>
        <w:ind w:left="360"/>
      </w:pPr>
    </w:p>
    <w:p w14:paraId="5FAAA927" w14:textId="3D71C14B" w:rsidR="009F34EC" w:rsidRDefault="009F34EC" w:rsidP="00297B5C">
      <w:pPr>
        <w:pStyle w:val="ListParagraph"/>
        <w:ind w:left="360"/>
      </w:pPr>
    </w:p>
    <w:p w14:paraId="5011405F" w14:textId="3CD89E10" w:rsidR="009F34EC" w:rsidRDefault="009F34EC" w:rsidP="00297B5C">
      <w:pPr>
        <w:pStyle w:val="ListParagraph"/>
        <w:ind w:left="360"/>
      </w:pPr>
    </w:p>
    <w:p w14:paraId="471EA72D" w14:textId="617704AC" w:rsidR="009F34EC" w:rsidRDefault="009F34EC" w:rsidP="00297B5C">
      <w:pPr>
        <w:pStyle w:val="ListParagraph"/>
        <w:ind w:left="360"/>
      </w:pPr>
    </w:p>
    <w:p w14:paraId="2DFB2CFA" w14:textId="27F33636" w:rsidR="009F34EC" w:rsidRDefault="009F34EC" w:rsidP="00297B5C">
      <w:pPr>
        <w:pStyle w:val="ListParagraph"/>
        <w:ind w:left="360"/>
      </w:pPr>
    </w:p>
    <w:p w14:paraId="301213DC" w14:textId="37961D6E" w:rsidR="009F34EC" w:rsidRDefault="009F34EC" w:rsidP="00297B5C">
      <w:pPr>
        <w:pStyle w:val="ListParagraph"/>
        <w:ind w:left="360"/>
      </w:pPr>
    </w:p>
    <w:bookmarkEnd w:id="1"/>
    <w:p w14:paraId="787072B0" w14:textId="77777777" w:rsidR="007E24AC" w:rsidRDefault="007E24AC" w:rsidP="00381A82">
      <w:pPr>
        <w:rPr>
          <w:rFonts w:cs="Arial"/>
          <w:b/>
          <w:lang w:eastAsia="en-GB"/>
        </w:rPr>
      </w:pPr>
    </w:p>
    <w:p w14:paraId="06BFCC6F" w14:textId="6C46BE2A" w:rsidR="00F34AC8" w:rsidRDefault="00F34AC8" w:rsidP="00F34AC8">
      <w:pPr>
        <w:pStyle w:val="ListParagraph"/>
        <w:ind w:left="360"/>
        <w:rPr>
          <w:rFonts w:cs="Arial"/>
          <w:lang w:eastAsia="en-GB"/>
        </w:rPr>
      </w:pPr>
    </w:p>
    <w:p w14:paraId="683F4030" w14:textId="77777777" w:rsidR="009B3153" w:rsidRPr="009B3153" w:rsidRDefault="007E24AC" w:rsidP="00B272E0">
      <w:pPr>
        <w:pStyle w:val="ListParagraph"/>
        <w:numPr>
          <w:ilvl w:val="0"/>
          <w:numId w:val="3"/>
        </w:numPr>
        <w:ind w:left="0" w:firstLine="0"/>
        <w:rPr>
          <w:b/>
          <w:lang w:eastAsia="en-GB"/>
        </w:rPr>
      </w:pPr>
      <w:r w:rsidRPr="009B3153">
        <w:rPr>
          <w:rFonts w:cs="Arial"/>
          <w:iCs/>
          <w:lang w:eastAsia="en-GB"/>
        </w:rPr>
        <w:t>Case studies of OPE and LRF supported projects are attached at Appendix A.</w:t>
      </w:r>
    </w:p>
    <w:p w14:paraId="39C4D39E" w14:textId="77777777" w:rsidR="009B3153" w:rsidRPr="009B3153" w:rsidRDefault="009B3153" w:rsidP="009B3153">
      <w:pPr>
        <w:pStyle w:val="ListParagraph"/>
        <w:rPr>
          <w:b/>
          <w:lang w:eastAsia="en-GB"/>
        </w:rPr>
      </w:pPr>
    </w:p>
    <w:p w14:paraId="7A00BF7C" w14:textId="1AC23800" w:rsidR="009B3153" w:rsidRDefault="00725907" w:rsidP="009A1DF0">
      <w:pPr>
        <w:pStyle w:val="ListParagraph"/>
        <w:rPr>
          <w:b/>
          <w:lang w:eastAsia="en-GB"/>
        </w:rPr>
      </w:pPr>
      <w:r>
        <w:rPr>
          <w:b/>
          <w:lang w:eastAsia="en-GB"/>
        </w:rPr>
        <w:t>Activity in 202</w:t>
      </w:r>
      <w:r w:rsidR="005318EC">
        <w:rPr>
          <w:b/>
          <w:lang w:eastAsia="en-GB"/>
        </w:rPr>
        <w:t>2</w:t>
      </w:r>
      <w:r>
        <w:rPr>
          <w:b/>
          <w:lang w:eastAsia="en-GB"/>
        </w:rPr>
        <w:t>/2</w:t>
      </w:r>
      <w:r w:rsidR="005318EC">
        <w:rPr>
          <w:b/>
          <w:lang w:eastAsia="en-GB"/>
        </w:rPr>
        <w:t>3</w:t>
      </w:r>
    </w:p>
    <w:p w14:paraId="52AB473F" w14:textId="77777777" w:rsidR="00B551DD" w:rsidRDefault="00B551DD" w:rsidP="009A1DF0">
      <w:pPr>
        <w:pStyle w:val="ListParagraph"/>
        <w:rPr>
          <w:lang w:eastAsia="en-GB"/>
        </w:rPr>
      </w:pPr>
    </w:p>
    <w:p w14:paraId="053326D2" w14:textId="77777777" w:rsidR="005B2DA7" w:rsidRDefault="00384C9B" w:rsidP="00AD143A">
      <w:pPr>
        <w:pStyle w:val="ListParagraph"/>
        <w:numPr>
          <w:ilvl w:val="0"/>
          <w:numId w:val="3"/>
        </w:numPr>
        <w:ind w:left="357" w:hanging="357"/>
      </w:pPr>
      <w:r w:rsidRPr="00B551DD">
        <w:t>Re</w:t>
      </w:r>
      <w:r w:rsidR="00AA4CDD" w:rsidRPr="00B551DD">
        <w:t>flecting</w:t>
      </w:r>
      <w:r w:rsidRPr="00B551DD">
        <w:t xml:space="preserve"> the success of </w:t>
      </w:r>
      <w:r w:rsidR="00B551DD">
        <w:t xml:space="preserve">the </w:t>
      </w:r>
      <w:r w:rsidRPr="00B551DD">
        <w:t>LRF</w:t>
      </w:r>
      <w:r w:rsidR="00AA4CDD" w:rsidRPr="00B551DD">
        <w:t xml:space="preserve"> </w:t>
      </w:r>
      <w:r w:rsidRPr="00B551DD">
        <w:t>and BLRF1</w:t>
      </w:r>
      <w:r w:rsidR="0073342B" w:rsidRPr="00B551DD">
        <w:t xml:space="preserve"> </w:t>
      </w:r>
      <w:r w:rsidR="002279E0" w:rsidRPr="00B551DD">
        <w:t xml:space="preserve">funding </w:t>
      </w:r>
      <w:r w:rsidR="0073342B" w:rsidRPr="00B551DD">
        <w:t xml:space="preserve">being delivered </w:t>
      </w:r>
      <w:r w:rsidR="00AA4CDD" w:rsidRPr="00B551DD">
        <w:t xml:space="preserve">by the LGA through OPE Partnerships, </w:t>
      </w:r>
      <w:r w:rsidRPr="00B551DD">
        <w:t xml:space="preserve">SR21 saw the announcement of a further </w:t>
      </w:r>
      <w:r w:rsidR="00DF36EA" w:rsidRPr="00B551DD">
        <w:t>£180 million </w:t>
      </w:r>
      <w:r w:rsidR="00AA4CDD" w:rsidRPr="00B551DD">
        <w:t>of B</w:t>
      </w:r>
      <w:r w:rsidR="00DF36EA" w:rsidRPr="00B551DD">
        <w:t>rownfield Land Release Fund</w:t>
      </w:r>
      <w:r w:rsidR="00AA4CDD" w:rsidRPr="00B551DD">
        <w:t>ing</w:t>
      </w:r>
      <w:r w:rsidR="00327F97" w:rsidRPr="00B551DD">
        <w:t xml:space="preserve"> </w:t>
      </w:r>
      <w:r w:rsidR="002279E0" w:rsidRPr="00B551DD">
        <w:t xml:space="preserve">for spend over the </w:t>
      </w:r>
      <w:proofErr w:type="gramStart"/>
      <w:r w:rsidR="002279E0" w:rsidRPr="00B551DD">
        <w:t>three year</w:t>
      </w:r>
      <w:proofErr w:type="gramEnd"/>
      <w:r w:rsidR="002279E0" w:rsidRPr="00B551DD">
        <w:t xml:space="preserve"> SR period. </w:t>
      </w:r>
    </w:p>
    <w:p w14:paraId="3C24B67C" w14:textId="77777777" w:rsidR="005B2DA7" w:rsidRDefault="005B2DA7" w:rsidP="005B2DA7">
      <w:pPr>
        <w:pStyle w:val="ListParagraph"/>
        <w:ind w:left="357"/>
      </w:pPr>
    </w:p>
    <w:p w14:paraId="66DA4F6D" w14:textId="2E110E97" w:rsidR="00033B8E" w:rsidRDefault="00714724" w:rsidP="00856F03">
      <w:pPr>
        <w:pStyle w:val="ListParagraph"/>
        <w:numPr>
          <w:ilvl w:val="0"/>
          <w:numId w:val="3"/>
        </w:numPr>
        <w:spacing w:after="0"/>
        <w:textAlignment w:val="baseline"/>
      </w:pPr>
      <w:r w:rsidRPr="005B2DA7">
        <w:t xml:space="preserve">The OPE </w:t>
      </w:r>
      <w:r w:rsidR="00A84AC2">
        <w:t>team</w:t>
      </w:r>
      <w:r w:rsidR="00327F97" w:rsidRPr="005B2DA7">
        <w:t xml:space="preserve"> </w:t>
      </w:r>
      <w:r w:rsidRPr="005B2DA7">
        <w:t>refin</w:t>
      </w:r>
      <w:r w:rsidR="00327F97" w:rsidRPr="005B2DA7">
        <w:t xml:space="preserve">ed </w:t>
      </w:r>
      <w:r w:rsidRPr="005B2DA7">
        <w:t xml:space="preserve">the fund design and criteria </w:t>
      </w:r>
      <w:r w:rsidR="00327F97" w:rsidRPr="005B2DA7">
        <w:t>to create BLRF2, ensur</w:t>
      </w:r>
      <w:r w:rsidR="00AB4E66" w:rsidRPr="005B2DA7">
        <w:t xml:space="preserve">ing the fund was accessible </w:t>
      </w:r>
      <w:r w:rsidR="002A50FF" w:rsidRPr="005B2DA7">
        <w:t>to council areas in need of levelling up, where such councils typically have low land values and ha</w:t>
      </w:r>
      <w:r w:rsidR="00B551DD">
        <w:t>d previously</w:t>
      </w:r>
      <w:r w:rsidR="002A50FF" w:rsidRPr="005B2DA7">
        <w:t xml:space="preserve"> struggled to access LRF or BLRF funding. </w:t>
      </w:r>
      <w:r w:rsidR="00033B8E" w:rsidRPr="005B2DA7">
        <w:rPr>
          <w:rFonts w:cs="Arial"/>
        </w:rPr>
        <w:t>The key differences in the design and criteria of BLRF2 are:</w:t>
      </w:r>
    </w:p>
    <w:p w14:paraId="6025F05F" w14:textId="77777777" w:rsidR="00033B8E" w:rsidRDefault="00033B8E" w:rsidP="00033B8E">
      <w:pPr>
        <w:pStyle w:val="NormalWeb"/>
        <w:numPr>
          <w:ilvl w:val="1"/>
          <w:numId w:val="3"/>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the value for money criteria, based on land value uplift, has a lower threshold, meaning councils with lower land values are eligible for funding</w:t>
      </w:r>
    </w:p>
    <w:p w14:paraId="2A835C4E" w14:textId="77777777" w:rsidR="00033B8E" w:rsidRDefault="00033B8E" w:rsidP="00033B8E">
      <w:pPr>
        <w:pStyle w:val="NormalWeb"/>
        <w:numPr>
          <w:ilvl w:val="1"/>
          <w:numId w:val="3"/>
        </w:numPr>
        <w:spacing w:before="0" w:beforeAutospacing="0" w:after="0" w:afterAutospacing="0" w:line="276" w:lineRule="auto"/>
        <w:textAlignment w:val="baseline"/>
        <w:rPr>
          <w:rFonts w:ascii="Arial" w:hAnsi="Arial" w:cs="Arial"/>
          <w:color w:val="000000"/>
          <w:sz w:val="22"/>
          <w:szCs w:val="22"/>
        </w:rPr>
      </w:pPr>
      <w:r w:rsidRPr="00C23424">
        <w:rPr>
          <w:rFonts w:ascii="Arial" w:hAnsi="Arial" w:cs="Arial"/>
          <w:color w:val="000000"/>
          <w:sz w:val="22"/>
          <w:szCs w:val="22"/>
        </w:rPr>
        <w:t xml:space="preserve">the fund </w:t>
      </w:r>
      <w:r>
        <w:rPr>
          <w:rFonts w:ascii="Arial" w:hAnsi="Arial" w:cs="Arial"/>
          <w:color w:val="000000"/>
          <w:sz w:val="22"/>
          <w:szCs w:val="22"/>
        </w:rPr>
        <w:t xml:space="preserve">is now available to </w:t>
      </w:r>
      <w:r w:rsidRPr="00C23424">
        <w:rPr>
          <w:rFonts w:ascii="Arial" w:hAnsi="Arial" w:cs="Arial"/>
          <w:color w:val="000000"/>
          <w:sz w:val="22"/>
          <w:szCs w:val="22"/>
        </w:rPr>
        <w:t>Mayoral Combined Authority (MCA) areas</w:t>
      </w:r>
      <w:r>
        <w:rPr>
          <w:rFonts w:ascii="Arial" w:hAnsi="Arial" w:cs="Arial"/>
          <w:color w:val="000000"/>
          <w:sz w:val="22"/>
          <w:szCs w:val="22"/>
        </w:rPr>
        <w:t>, both the MCA and their constituent councils</w:t>
      </w:r>
    </w:p>
    <w:p w14:paraId="0C78F67A" w14:textId="77777777" w:rsidR="00033B8E" w:rsidRPr="00042195" w:rsidRDefault="00033B8E" w:rsidP="00033B8E">
      <w:pPr>
        <w:pStyle w:val="NormalWeb"/>
        <w:numPr>
          <w:ilvl w:val="1"/>
          <w:numId w:val="3"/>
        </w:numPr>
        <w:spacing w:before="0" w:beforeAutospacing="0" w:after="0" w:afterAutospacing="0" w:line="276" w:lineRule="auto"/>
        <w:textAlignment w:val="baseline"/>
        <w:rPr>
          <w:rFonts w:ascii="Arial" w:hAnsi="Arial" w:cs="Arial"/>
          <w:color w:val="000000"/>
          <w:sz w:val="22"/>
          <w:szCs w:val="22"/>
        </w:rPr>
      </w:pPr>
      <w:r w:rsidRPr="00042195">
        <w:rPr>
          <w:rFonts w:ascii="Arial" w:hAnsi="Arial" w:cs="Arial"/>
          <w:color w:val="000000"/>
          <w:sz w:val="22"/>
          <w:szCs w:val="22"/>
        </w:rPr>
        <w:lastRenderedPageBreak/>
        <w:t xml:space="preserve">the </w:t>
      </w:r>
      <w:proofErr w:type="gramStart"/>
      <w:r w:rsidRPr="00042195">
        <w:rPr>
          <w:rFonts w:ascii="Arial" w:hAnsi="Arial" w:cs="Arial"/>
          <w:color w:val="000000"/>
          <w:sz w:val="22"/>
          <w:szCs w:val="22"/>
        </w:rPr>
        <w:t>three year</w:t>
      </w:r>
      <w:proofErr w:type="gramEnd"/>
      <w:r w:rsidRPr="00042195">
        <w:rPr>
          <w:rFonts w:ascii="Arial" w:hAnsi="Arial" w:cs="Arial"/>
          <w:color w:val="000000"/>
          <w:sz w:val="22"/>
          <w:szCs w:val="22"/>
        </w:rPr>
        <w:t xml:space="preserve"> time frame enables </w:t>
      </w:r>
      <w:r>
        <w:rPr>
          <w:rFonts w:ascii="Arial" w:hAnsi="Arial" w:cs="Arial"/>
          <w:color w:val="000000"/>
          <w:sz w:val="22"/>
          <w:szCs w:val="22"/>
        </w:rPr>
        <w:t>councils to plan when to bid to best manage their capacity and resources</w:t>
      </w:r>
    </w:p>
    <w:p w14:paraId="17946D81" w14:textId="77777777" w:rsidR="00033B8E" w:rsidRDefault="00033B8E" w:rsidP="00033B8E">
      <w:pPr>
        <w:pStyle w:val="ListParagraph"/>
      </w:pPr>
    </w:p>
    <w:p w14:paraId="4E34FF51" w14:textId="35005F24" w:rsidR="00365E43" w:rsidRPr="00DD3A81" w:rsidRDefault="00DF36EA" w:rsidP="00DD3A81">
      <w:pPr>
        <w:pStyle w:val="NormalWeb"/>
        <w:numPr>
          <w:ilvl w:val="0"/>
          <w:numId w:val="3"/>
        </w:numPr>
        <w:spacing w:before="0" w:beforeAutospacing="0" w:after="0" w:afterAutospacing="0" w:line="276" w:lineRule="auto"/>
        <w:ind w:left="357" w:hanging="357"/>
        <w:textAlignment w:val="baseline"/>
        <w:rPr>
          <w:rFonts w:cs="Arial"/>
          <w:color w:val="000000"/>
        </w:rPr>
      </w:pPr>
      <w:r w:rsidRPr="00AD143A">
        <w:rPr>
          <w:rFonts w:ascii="Arial" w:eastAsiaTheme="minorHAnsi" w:hAnsi="Arial" w:cstheme="minorBidi"/>
          <w:sz w:val="22"/>
          <w:szCs w:val="22"/>
          <w:lang w:eastAsia="en-US"/>
        </w:rPr>
        <w:t xml:space="preserve">The first wave of BLRF2, £40 million, was </w:t>
      </w:r>
      <w:r w:rsidR="002A50FF" w:rsidRPr="00AD143A">
        <w:rPr>
          <w:rFonts w:ascii="Arial" w:eastAsiaTheme="minorHAnsi" w:hAnsi="Arial" w:cstheme="minorBidi"/>
          <w:sz w:val="22"/>
          <w:szCs w:val="22"/>
          <w:lang w:eastAsia="en-US"/>
        </w:rPr>
        <w:t xml:space="preserve">soft </w:t>
      </w:r>
      <w:r w:rsidRPr="00AD143A">
        <w:rPr>
          <w:rFonts w:ascii="Arial" w:eastAsiaTheme="minorHAnsi" w:hAnsi="Arial" w:cstheme="minorBidi"/>
          <w:sz w:val="22"/>
          <w:szCs w:val="22"/>
          <w:lang w:eastAsia="en-US"/>
        </w:rPr>
        <w:t xml:space="preserve">launched to councils </w:t>
      </w:r>
      <w:r w:rsidR="002A50FF" w:rsidRPr="00AD143A">
        <w:rPr>
          <w:rFonts w:ascii="Arial" w:eastAsiaTheme="minorHAnsi" w:hAnsi="Arial" w:cstheme="minorBidi"/>
          <w:sz w:val="22"/>
          <w:szCs w:val="22"/>
          <w:lang w:eastAsia="en-US"/>
        </w:rPr>
        <w:t>o</w:t>
      </w:r>
      <w:r w:rsidRPr="00AD143A">
        <w:rPr>
          <w:rFonts w:ascii="Arial" w:eastAsiaTheme="minorHAnsi" w:hAnsi="Arial" w:cstheme="minorBidi"/>
          <w:sz w:val="22"/>
          <w:szCs w:val="22"/>
          <w:lang w:eastAsia="en-US"/>
        </w:rPr>
        <w:t xml:space="preserve">n </w:t>
      </w:r>
      <w:r w:rsidR="002A50FF" w:rsidRPr="00AD143A">
        <w:rPr>
          <w:rFonts w:ascii="Arial" w:eastAsiaTheme="minorHAnsi" w:hAnsi="Arial" w:cstheme="minorBidi"/>
          <w:sz w:val="22"/>
          <w:szCs w:val="22"/>
          <w:lang w:eastAsia="en-US"/>
        </w:rPr>
        <w:t xml:space="preserve">30th </w:t>
      </w:r>
      <w:r w:rsidRPr="00AD143A">
        <w:rPr>
          <w:rFonts w:ascii="Arial" w:eastAsiaTheme="minorHAnsi" w:hAnsi="Arial" w:cstheme="minorBidi"/>
          <w:sz w:val="22"/>
          <w:szCs w:val="22"/>
          <w:lang w:eastAsia="en-US"/>
        </w:rPr>
        <w:t>Ju</w:t>
      </w:r>
      <w:r w:rsidR="002A50FF" w:rsidRPr="00AD143A">
        <w:rPr>
          <w:rFonts w:ascii="Arial" w:eastAsiaTheme="minorHAnsi" w:hAnsi="Arial" w:cstheme="minorBidi"/>
          <w:sz w:val="22"/>
          <w:szCs w:val="22"/>
          <w:lang w:eastAsia="en-US"/>
        </w:rPr>
        <w:t>ne</w:t>
      </w:r>
      <w:r w:rsidRPr="00AD143A">
        <w:rPr>
          <w:rFonts w:ascii="Arial" w:eastAsiaTheme="minorHAnsi" w:hAnsi="Arial" w:cstheme="minorBidi"/>
          <w:sz w:val="22"/>
          <w:szCs w:val="22"/>
          <w:lang w:eastAsia="en-US"/>
        </w:rPr>
        <w:t xml:space="preserve"> 2022</w:t>
      </w:r>
      <w:r w:rsidR="00B551DD" w:rsidRPr="00AD143A">
        <w:rPr>
          <w:rFonts w:ascii="Arial" w:eastAsiaTheme="minorHAnsi" w:hAnsi="Arial" w:cstheme="minorBidi"/>
          <w:sz w:val="22"/>
          <w:szCs w:val="22"/>
          <w:lang w:eastAsia="en-US"/>
        </w:rPr>
        <w:t xml:space="preserve">, and formally launched on </w:t>
      </w:r>
      <w:r w:rsidR="001533C6" w:rsidRPr="00AD143A">
        <w:rPr>
          <w:rFonts w:ascii="Arial" w:eastAsiaTheme="minorHAnsi" w:hAnsi="Arial" w:cstheme="minorBidi"/>
          <w:sz w:val="22"/>
          <w:szCs w:val="22"/>
          <w:lang w:eastAsia="en-US"/>
        </w:rPr>
        <w:t xml:space="preserve">8th </w:t>
      </w:r>
      <w:r w:rsidR="00B551DD" w:rsidRPr="00AD143A">
        <w:rPr>
          <w:rFonts w:ascii="Arial" w:eastAsiaTheme="minorHAnsi" w:hAnsi="Arial" w:cstheme="minorBidi"/>
          <w:sz w:val="22"/>
          <w:szCs w:val="22"/>
          <w:lang w:eastAsia="en-US"/>
        </w:rPr>
        <w:t>July</w:t>
      </w:r>
      <w:r w:rsidR="001533C6" w:rsidRPr="00AD143A">
        <w:rPr>
          <w:rFonts w:ascii="Arial" w:eastAsiaTheme="minorHAnsi" w:hAnsi="Arial" w:cstheme="minorBidi"/>
          <w:sz w:val="22"/>
          <w:szCs w:val="22"/>
          <w:lang w:eastAsia="en-US"/>
        </w:rPr>
        <w:t xml:space="preserve">. </w:t>
      </w:r>
      <w:r w:rsidR="00B551DD" w:rsidRPr="00AD143A">
        <w:rPr>
          <w:rFonts w:ascii="Arial" w:eastAsiaTheme="minorHAnsi" w:hAnsi="Arial" w:cstheme="minorBidi"/>
          <w:sz w:val="22"/>
          <w:szCs w:val="22"/>
          <w:lang w:eastAsia="en-US"/>
        </w:rPr>
        <w:t xml:space="preserve"> </w:t>
      </w:r>
      <w:r w:rsidR="00365E43" w:rsidRPr="00DD3A81">
        <w:rPr>
          <w:rFonts w:ascii="Arial" w:hAnsi="Arial" w:cs="Arial"/>
          <w:color w:val="000000"/>
          <w:sz w:val="22"/>
          <w:szCs w:val="22"/>
        </w:rPr>
        <w:t>The BLRF application window closes on 19</w:t>
      </w:r>
      <w:r w:rsidR="00365E43" w:rsidRPr="00DD3A81">
        <w:rPr>
          <w:rFonts w:ascii="Arial" w:hAnsi="Arial" w:cs="Arial"/>
          <w:color w:val="000000"/>
          <w:sz w:val="22"/>
          <w:szCs w:val="22"/>
          <w:vertAlign w:val="superscript"/>
        </w:rPr>
        <w:t>th</w:t>
      </w:r>
      <w:r w:rsidR="00365E43" w:rsidRPr="00DD3A81">
        <w:rPr>
          <w:rFonts w:ascii="Arial" w:hAnsi="Arial" w:cs="Arial"/>
          <w:color w:val="000000"/>
          <w:sz w:val="22"/>
          <w:szCs w:val="22"/>
        </w:rPr>
        <w:t xml:space="preserve"> August, with project assessments and funding awards occurring </w:t>
      </w:r>
      <w:r w:rsidR="00DD3A81" w:rsidRPr="00DD3A81">
        <w:rPr>
          <w:rFonts w:ascii="Arial" w:hAnsi="Arial" w:cs="Arial"/>
          <w:color w:val="000000"/>
          <w:sz w:val="22"/>
          <w:szCs w:val="22"/>
        </w:rPr>
        <w:t>during the autumn</w:t>
      </w:r>
      <w:r w:rsidR="00365E43" w:rsidRPr="00DD3A81">
        <w:rPr>
          <w:rFonts w:ascii="Arial" w:hAnsi="Arial" w:cs="Arial"/>
          <w:color w:val="000000"/>
          <w:sz w:val="22"/>
          <w:szCs w:val="22"/>
        </w:rPr>
        <w:t>.</w:t>
      </w:r>
    </w:p>
    <w:p w14:paraId="69C2B332" w14:textId="77777777" w:rsidR="00DD3A81" w:rsidRPr="00DD3A81" w:rsidRDefault="00DD3A81" w:rsidP="00DD3A81">
      <w:pPr>
        <w:pStyle w:val="NormalWeb"/>
        <w:spacing w:before="0" w:beforeAutospacing="0" w:after="0" w:afterAutospacing="0"/>
        <w:ind w:left="360"/>
        <w:textAlignment w:val="baseline"/>
        <w:rPr>
          <w:rFonts w:cs="Arial"/>
          <w:color w:val="000000"/>
        </w:rPr>
      </w:pPr>
    </w:p>
    <w:p w14:paraId="2A0C6C3A" w14:textId="62339ACB" w:rsidR="006F66BE" w:rsidRPr="00AD143A" w:rsidRDefault="001E7386" w:rsidP="00AD143A">
      <w:pPr>
        <w:pStyle w:val="NormalWeb"/>
        <w:numPr>
          <w:ilvl w:val="0"/>
          <w:numId w:val="3"/>
        </w:numPr>
        <w:spacing w:before="0" w:beforeAutospacing="0" w:after="0" w:afterAutospacing="0" w:line="276" w:lineRule="auto"/>
        <w:ind w:left="357" w:hanging="357"/>
        <w:textAlignment w:val="baseline"/>
        <w:rPr>
          <w:rFonts w:ascii="Arial" w:eastAsiaTheme="minorHAnsi" w:hAnsi="Arial" w:cstheme="minorBidi"/>
          <w:sz w:val="22"/>
          <w:szCs w:val="22"/>
          <w:lang w:eastAsia="en-US"/>
        </w:rPr>
      </w:pPr>
      <w:r w:rsidRPr="00AD143A">
        <w:rPr>
          <w:rFonts w:ascii="Arial" w:eastAsiaTheme="minorHAnsi" w:hAnsi="Arial" w:cstheme="minorBidi"/>
          <w:sz w:val="22"/>
          <w:szCs w:val="22"/>
          <w:lang w:eastAsia="en-US"/>
        </w:rPr>
        <w:t>Further Waves are planned for years 2 and 3, anticipated to be £60m and £80m respectively.</w:t>
      </w:r>
    </w:p>
    <w:p w14:paraId="24505841" w14:textId="77777777" w:rsidR="00B7624D" w:rsidRPr="00AD143A" w:rsidRDefault="00B7624D" w:rsidP="00B7624D">
      <w:pPr>
        <w:pStyle w:val="NormalWeb"/>
        <w:spacing w:before="0" w:beforeAutospacing="0" w:after="0" w:afterAutospacing="0"/>
        <w:ind w:left="360"/>
        <w:textAlignment w:val="baseline"/>
        <w:rPr>
          <w:rFonts w:ascii="Arial" w:eastAsiaTheme="minorHAnsi" w:hAnsi="Arial" w:cstheme="minorBidi"/>
          <w:sz w:val="22"/>
          <w:szCs w:val="22"/>
          <w:lang w:eastAsia="en-US"/>
        </w:rPr>
      </w:pPr>
    </w:p>
    <w:p w14:paraId="7B631F68" w14:textId="460FB393" w:rsidR="00770912" w:rsidRPr="00E96593" w:rsidRDefault="009A1DF0" w:rsidP="00556F16">
      <w:pPr>
        <w:pStyle w:val="NormalWeb"/>
        <w:numPr>
          <w:ilvl w:val="0"/>
          <w:numId w:val="3"/>
        </w:numPr>
        <w:spacing w:before="0" w:beforeAutospacing="0" w:after="0" w:afterAutospacing="0"/>
        <w:textAlignment w:val="baseline"/>
        <w:rPr>
          <w:rFonts w:cs="Arial"/>
          <w:color w:val="000000"/>
        </w:rPr>
      </w:pPr>
      <w:r w:rsidRPr="00365E43">
        <w:rPr>
          <w:rFonts w:ascii="Arial" w:hAnsi="Arial" w:cs="Arial"/>
          <w:color w:val="000000"/>
          <w:sz w:val="22"/>
          <w:szCs w:val="22"/>
        </w:rPr>
        <w:t xml:space="preserve">The OPE programme is currently holding workshops with </w:t>
      </w:r>
      <w:r w:rsidR="006C14C7">
        <w:rPr>
          <w:rFonts w:ascii="Arial" w:hAnsi="Arial" w:cs="Arial"/>
          <w:color w:val="000000"/>
          <w:sz w:val="22"/>
          <w:szCs w:val="22"/>
        </w:rPr>
        <w:t>councils</w:t>
      </w:r>
      <w:r w:rsidRPr="00365E43">
        <w:rPr>
          <w:rFonts w:ascii="Arial" w:hAnsi="Arial" w:cs="Arial"/>
          <w:color w:val="000000"/>
          <w:sz w:val="22"/>
          <w:szCs w:val="22"/>
        </w:rPr>
        <w:t xml:space="preserve"> to provide briefings on the detail of the funds, plus advice on applying. </w:t>
      </w:r>
    </w:p>
    <w:p w14:paraId="3CE97934" w14:textId="77777777" w:rsidR="00E96593" w:rsidRDefault="00E96593" w:rsidP="00E96593">
      <w:pPr>
        <w:pStyle w:val="NormalWeb"/>
        <w:spacing w:before="0" w:beforeAutospacing="0" w:after="0" w:afterAutospacing="0"/>
        <w:ind w:left="360"/>
        <w:textAlignment w:val="baseline"/>
        <w:rPr>
          <w:rFonts w:cs="Arial"/>
          <w:color w:val="000000"/>
        </w:rPr>
      </w:pPr>
    </w:p>
    <w:p w14:paraId="78A8A37E" w14:textId="7F2C353E" w:rsidR="00E96593" w:rsidRDefault="00E96593" w:rsidP="00C25D42">
      <w:pPr>
        <w:rPr>
          <w:b/>
          <w:bCs/>
          <w:lang w:eastAsia="en-GB"/>
        </w:rPr>
      </w:pPr>
      <w:r>
        <w:rPr>
          <w:b/>
          <w:bCs/>
          <w:lang w:eastAsia="en-GB"/>
        </w:rPr>
        <w:t>Summary and Forward Look</w:t>
      </w:r>
    </w:p>
    <w:p w14:paraId="5CEAF5D4" w14:textId="6EC6F79B" w:rsidR="0097310B" w:rsidRDefault="0097310B" w:rsidP="0097310B">
      <w:pPr>
        <w:pStyle w:val="ListParagraph"/>
        <w:numPr>
          <w:ilvl w:val="0"/>
          <w:numId w:val="3"/>
        </w:numPr>
        <w:ind w:left="357" w:hanging="357"/>
        <w:rPr>
          <w:lang w:eastAsia="en-GB"/>
        </w:rPr>
      </w:pPr>
      <w:r w:rsidRPr="0097310B">
        <w:rPr>
          <w:lang w:eastAsia="en-GB"/>
        </w:rPr>
        <w:t>The OPE Programme continues to see strong outputs from the activities and initiatives it is delivering</w:t>
      </w:r>
      <w:r w:rsidR="007E26F9">
        <w:rPr>
          <w:lang w:eastAsia="en-GB"/>
        </w:rPr>
        <w:t>,</w:t>
      </w:r>
      <w:r w:rsidRPr="0097310B">
        <w:rPr>
          <w:lang w:eastAsia="en-GB"/>
        </w:rPr>
        <w:t xml:space="preserve"> as evidenced within this report. The model of local OPE partnerships, and the programme's collaborative ethos, mean OPE is an effective and efficient route for reaching and</w:t>
      </w:r>
      <w:r w:rsidR="007E26F9">
        <w:rPr>
          <w:lang w:eastAsia="en-GB"/>
        </w:rPr>
        <w:t xml:space="preserve"> supporting local councils</w:t>
      </w:r>
      <w:r w:rsidRPr="0097310B">
        <w:rPr>
          <w:lang w:eastAsia="en-GB"/>
        </w:rPr>
        <w:t>.     </w:t>
      </w:r>
    </w:p>
    <w:p w14:paraId="22C8FD86" w14:textId="77777777" w:rsidR="0097310B" w:rsidRPr="0097310B" w:rsidRDefault="0097310B" w:rsidP="0097310B">
      <w:pPr>
        <w:pStyle w:val="ListParagraph"/>
        <w:ind w:left="357"/>
        <w:rPr>
          <w:lang w:eastAsia="en-GB"/>
        </w:rPr>
      </w:pPr>
    </w:p>
    <w:p w14:paraId="3CE5B968" w14:textId="01AC4710" w:rsidR="0097310B" w:rsidRDefault="0097310B" w:rsidP="0097310B">
      <w:pPr>
        <w:pStyle w:val="ListParagraph"/>
        <w:numPr>
          <w:ilvl w:val="0"/>
          <w:numId w:val="3"/>
        </w:numPr>
        <w:ind w:left="357" w:hanging="357"/>
        <w:rPr>
          <w:lang w:eastAsia="en-GB"/>
        </w:rPr>
      </w:pPr>
      <w:r w:rsidRPr="0097310B">
        <w:rPr>
          <w:lang w:eastAsia="en-GB"/>
        </w:rPr>
        <w:t>Notwithstanding strong delivery, there are sectoral challenges. Post pandemic</w:t>
      </w:r>
      <w:r w:rsidR="0031300E">
        <w:rPr>
          <w:lang w:eastAsia="en-GB"/>
        </w:rPr>
        <w:t xml:space="preserve">, </w:t>
      </w:r>
      <w:r w:rsidRPr="0097310B">
        <w:rPr>
          <w:lang w:eastAsia="en-GB"/>
        </w:rPr>
        <w:t>public bodies continue to grapple with the amount, and nature, of property assets required going forwards. Capacity across many areas of the public sector, but particularly built environment professions, continues to present a challenge. Inflation and spiralling energy costs are of increasing concern in relation to public service delivery and built environment projects.</w:t>
      </w:r>
    </w:p>
    <w:p w14:paraId="0319DF47" w14:textId="77777777" w:rsidR="0097310B" w:rsidRDefault="0097310B" w:rsidP="0097310B">
      <w:pPr>
        <w:pStyle w:val="ListParagraph"/>
        <w:rPr>
          <w:lang w:eastAsia="en-GB"/>
        </w:rPr>
      </w:pPr>
    </w:p>
    <w:p w14:paraId="3D3EB6D5" w14:textId="17A7052C" w:rsidR="00AF0810" w:rsidRPr="00AF0810" w:rsidRDefault="0097310B" w:rsidP="00060C3A">
      <w:pPr>
        <w:pStyle w:val="ListParagraph"/>
        <w:numPr>
          <w:ilvl w:val="0"/>
          <w:numId w:val="3"/>
        </w:numPr>
        <w:rPr>
          <w:b/>
          <w:bCs/>
          <w:lang w:eastAsia="en-GB"/>
        </w:rPr>
      </w:pPr>
      <w:r w:rsidRPr="0097310B">
        <w:rPr>
          <w:lang w:eastAsia="en-GB"/>
        </w:rPr>
        <w:t>The OPE Programme is continuing to develop its OPE support offer in response to levelling up and other government priorities, and project opportunities surfaced through local OPE partnership pipeline development</w:t>
      </w:r>
      <w:r w:rsidR="007F66C2">
        <w:rPr>
          <w:lang w:eastAsia="en-GB"/>
        </w:rPr>
        <w:t>.</w:t>
      </w:r>
      <w:r w:rsidR="00E64CBC">
        <w:rPr>
          <w:lang w:eastAsia="en-GB"/>
        </w:rPr>
        <w:t xml:space="preserve"> </w:t>
      </w:r>
    </w:p>
    <w:p w14:paraId="50EAE15E" w14:textId="4B2F6D44" w:rsidR="00C25D42" w:rsidRPr="00AF0810" w:rsidRDefault="00C25D42" w:rsidP="00AF0810">
      <w:pPr>
        <w:rPr>
          <w:b/>
          <w:bCs/>
          <w:lang w:eastAsia="en-GB"/>
        </w:rPr>
      </w:pPr>
      <w:r w:rsidRPr="00AF0810">
        <w:rPr>
          <w:b/>
          <w:bCs/>
          <w:lang w:eastAsia="en-GB"/>
        </w:rPr>
        <w:t>Issues</w:t>
      </w:r>
    </w:p>
    <w:p w14:paraId="12E54AF7" w14:textId="0FB9CA92" w:rsidR="00C25D42" w:rsidRPr="00371422" w:rsidRDefault="00371422" w:rsidP="00C25D42">
      <w:pPr>
        <w:pStyle w:val="ListParagraph"/>
        <w:numPr>
          <w:ilvl w:val="0"/>
          <w:numId w:val="3"/>
        </w:numPr>
        <w:rPr>
          <w:lang w:eastAsia="en-GB"/>
        </w:rPr>
      </w:pPr>
      <w:r w:rsidRPr="00371422">
        <w:rPr>
          <w:lang w:eastAsia="en-GB"/>
        </w:rPr>
        <w:t>There are no specific issues to raise in relation to the OPE programme.</w:t>
      </w:r>
      <w:r w:rsidR="00A53C55">
        <w:rPr>
          <w:lang w:eastAsia="en-GB"/>
        </w:rPr>
        <w:t xml:space="preserve"> Sector wide issues are set out at paragraph </w:t>
      </w:r>
      <w:r w:rsidR="00E64CBC">
        <w:rPr>
          <w:lang w:eastAsia="en-GB"/>
        </w:rPr>
        <w:t>30 above.</w:t>
      </w:r>
    </w:p>
    <w:p w14:paraId="6D2274D1" w14:textId="2E3C09B4" w:rsidR="00805B1C" w:rsidRPr="00371422" w:rsidRDefault="00805B1C" w:rsidP="00805B1C">
      <w:pPr>
        <w:rPr>
          <w:lang w:eastAsia="en-GB"/>
        </w:rPr>
      </w:pPr>
      <w:r w:rsidRPr="00371422">
        <w:rPr>
          <w:b/>
          <w:bCs/>
          <w:lang w:eastAsia="en-GB"/>
        </w:rPr>
        <w:t xml:space="preserve">Implications for Wales </w:t>
      </w:r>
    </w:p>
    <w:p w14:paraId="4FC9006F" w14:textId="0ACCF9B0" w:rsidR="00805B1C" w:rsidRDefault="00371422" w:rsidP="00805B1C">
      <w:pPr>
        <w:pStyle w:val="ListParagraph"/>
        <w:numPr>
          <w:ilvl w:val="0"/>
          <w:numId w:val="3"/>
        </w:numPr>
        <w:rPr>
          <w:lang w:eastAsia="en-GB"/>
        </w:rPr>
      </w:pPr>
      <w:r w:rsidRPr="00371422">
        <w:rPr>
          <w:lang w:eastAsia="en-GB"/>
        </w:rPr>
        <w:t>None – the OPE programme o</w:t>
      </w:r>
      <w:r>
        <w:rPr>
          <w:lang w:eastAsia="en-GB"/>
        </w:rPr>
        <w:t>n</w:t>
      </w:r>
      <w:r w:rsidRPr="00371422">
        <w:rPr>
          <w:lang w:eastAsia="en-GB"/>
        </w:rPr>
        <w:t>ly covers English local authority areas.</w:t>
      </w:r>
      <w:r>
        <w:rPr>
          <w:lang w:eastAsia="en-GB"/>
        </w:rPr>
        <w:t xml:space="preserve"> The OPE programme has previously engaged with Welsh Government colleagues to share experiences and learnings.</w:t>
      </w:r>
    </w:p>
    <w:p w14:paraId="6DE520B2" w14:textId="77777777" w:rsidR="007F66C2" w:rsidRDefault="007F66C2" w:rsidP="00143871">
      <w:pPr>
        <w:ind w:left="0" w:firstLine="0"/>
        <w:rPr>
          <w:b/>
          <w:bCs/>
          <w:lang w:eastAsia="en-GB"/>
        </w:rPr>
      </w:pPr>
    </w:p>
    <w:p w14:paraId="2B330E97" w14:textId="77777777" w:rsidR="007F66C2" w:rsidRDefault="007F66C2" w:rsidP="00143871">
      <w:pPr>
        <w:ind w:left="0" w:firstLine="0"/>
        <w:rPr>
          <w:b/>
          <w:bCs/>
          <w:lang w:eastAsia="en-GB"/>
        </w:rPr>
      </w:pPr>
    </w:p>
    <w:p w14:paraId="473449A0" w14:textId="77777777" w:rsidR="007F66C2" w:rsidRDefault="007F66C2" w:rsidP="00143871">
      <w:pPr>
        <w:ind w:left="0" w:firstLine="0"/>
        <w:rPr>
          <w:b/>
          <w:bCs/>
          <w:lang w:eastAsia="en-GB"/>
        </w:rPr>
      </w:pPr>
    </w:p>
    <w:p w14:paraId="749382A4" w14:textId="60C380E2" w:rsidR="00143871" w:rsidRPr="00143871" w:rsidRDefault="00143871" w:rsidP="00143871">
      <w:pPr>
        <w:ind w:left="0" w:firstLine="0"/>
        <w:rPr>
          <w:b/>
          <w:bCs/>
          <w:lang w:eastAsia="en-GB"/>
        </w:rPr>
      </w:pPr>
      <w:r w:rsidRPr="00143871">
        <w:rPr>
          <w:b/>
          <w:bCs/>
          <w:lang w:eastAsia="en-GB"/>
        </w:rPr>
        <w:lastRenderedPageBreak/>
        <w:t>Equalities implications</w:t>
      </w:r>
    </w:p>
    <w:p w14:paraId="05837D37" w14:textId="5779FFBC" w:rsidR="00CC6E3C" w:rsidRDefault="00CC6E3C" w:rsidP="00143871">
      <w:pPr>
        <w:pStyle w:val="ListParagraph"/>
        <w:numPr>
          <w:ilvl w:val="0"/>
          <w:numId w:val="3"/>
        </w:numPr>
        <w:rPr>
          <w:lang w:eastAsia="en-GB"/>
        </w:rPr>
      </w:pPr>
      <w:r>
        <w:rPr>
          <w:lang w:eastAsia="en-GB"/>
        </w:rPr>
        <w:t xml:space="preserve">Positive - </w:t>
      </w:r>
    </w:p>
    <w:p w14:paraId="1A494FE8" w14:textId="77777777" w:rsidR="00CC6E3C" w:rsidRDefault="00143871" w:rsidP="00CC6E3C">
      <w:pPr>
        <w:pStyle w:val="ListParagraph"/>
        <w:numPr>
          <w:ilvl w:val="1"/>
          <w:numId w:val="3"/>
        </w:numPr>
        <w:rPr>
          <w:lang w:eastAsia="en-GB"/>
        </w:rPr>
      </w:pPr>
      <w:r>
        <w:rPr>
          <w:lang w:eastAsia="en-GB"/>
        </w:rPr>
        <w:t xml:space="preserve">the OPE programme seeks </w:t>
      </w:r>
      <w:r w:rsidR="00CC6E3C">
        <w:rPr>
          <w:lang w:eastAsia="en-GB"/>
        </w:rPr>
        <w:t>to support property projects which in general terms improve accessibility to public services for all, and which support local authorities’ to best meet diverse housing needs where the market is unlikely to meet these</w:t>
      </w:r>
    </w:p>
    <w:p w14:paraId="479D654F" w14:textId="79FB8BF8" w:rsidR="00CC6E3C" w:rsidRDefault="00B940F4" w:rsidP="00CC6E3C">
      <w:pPr>
        <w:pStyle w:val="ListParagraph"/>
        <w:numPr>
          <w:ilvl w:val="1"/>
          <w:numId w:val="3"/>
        </w:numPr>
        <w:rPr>
          <w:lang w:eastAsia="en-GB"/>
        </w:rPr>
      </w:pPr>
      <w:r>
        <w:rPr>
          <w:lang w:eastAsia="en-GB"/>
        </w:rPr>
        <w:t xml:space="preserve">the </w:t>
      </w:r>
      <w:r w:rsidR="00CC6E3C">
        <w:rPr>
          <w:lang w:eastAsia="en-GB"/>
        </w:rPr>
        <w:t>c</w:t>
      </w:r>
      <w:r w:rsidR="00143871">
        <w:rPr>
          <w:lang w:eastAsia="en-GB"/>
        </w:rPr>
        <w:t>riteria to be assessed as part of the current BLRF</w:t>
      </w:r>
      <w:r w:rsidR="00616D17">
        <w:rPr>
          <w:lang w:eastAsia="en-GB"/>
        </w:rPr>
        <w:t>2</w:t>
      </w:r>
      <w:r w:rsidR="00143871">
        <w:rPr>
          <w:lang w:eastAsia="en-GB"/>
        </w:rPr>
        <w:t xml:space="preserve"> application round include the degree to which the Public Sector Equality Duty is met by proposed schemes (</w:t>
      </w:r>
      <w:r w:rsidR="00CC6E3C">
        <w:rPr>
          <w:lang w:eastAsia="en-GB"/>
        </w:rPr>
        <w:t xml:space="preserve">PSED is </w:t>
      </w:r>
      <w:r w:rsidR="00143871">
        <w:rPr>
          <w:lang w:eastAsia="en-GB"/>
        </w:rPr>
        <w:t xml:space="preserve">5% of </w:t>
      </w:r>
      <w:r w:rsidR="00CC6E3C">
        <w:rPr>
          <w:lang w:eastAsia="en-GB"/>
        </w:rPr>
        <w:t xml:space="preserve">the </w:t>
      </w:r>
      <w:r w:rsidR="00143871">
        <w:rPr>
          <w:lang w:eastAsia="en-GB"/>
        </w:rPr>
        <w:t>available score)</w:t>
      </w:r>
    </w:p>
    <w:p w14:paraId="2966703C" w14:textId="4235B25D" w:rsidR="00143871" w:rsidRPr="00371422" w:rsidRDefault="00CC6E3C" w:rsidP="00CC6E3C">
      <w:pPr>
        <w:pStyle w:val="ListParagraph"/>
        <w:numPr>
          <w:ilvl w:val="1"/>
          <w:numId w:val="3"/>
        </w:numPr>
        <w:rPr>
          <w:lang w:eastAsia="en-GB"/>
        </w:rPr>
      </w:pPr>
      <w:r>
        <w:rPr>
          <w:lang w:eastAsia="en-GB"/>
        </w:rPr>
        <w:t>the OPE programme seeks to ensure EDI aims are met operationally, for example through recruitment practises, providing subtitles on video formats</w:t>
      </w:r>
      <w:r w:rsidR="00616D17">
        <w:rPr>
          <w:lang w:eastAsia="en-GB"/>
        </w:rPr>
        <w:t>,</w:t>
      </w:r>
      <w:r>
        <w:rPr>
          <w:lang w:eastAsia="en-GB"/>
        </w:rPr>
        <w:t xml:space="preserve"> and so forth.</w:t>
      </w:r>
    </w:p>
    <w:p w14:paraId="5D05BCAD" w14:textId="64CC72B9" w:rsidR="00805B1C" w:rsidRPr="00371422" w:rsidRDefault="00805B1C" w:rsidP="00C25D42">
      <w:pPr>
        <w:ind w:left="0" w:firstLine="0"/>
        <w:rPr>
          <w:b/>
          <w:bCs/>
          <w:lang w:eastAsia="en-GB"/>
        </w:rPr>
      </w:pPr>
      <w:r w:rsidRPr="00371422">
        <w:rPr>
          <w:b/>
          <w:bCs/>
          <w:lang w:eastAsia="en-GB"/>
        </w:rPr>
        <w:t>Financial implications</w:t>
      </w:r>
    </w:p>
    <w:p w14:paraId="558D7701" w14:textId="4EAF785D" w:rsidR="00315ECE" w:rsidRPr="00371422" w:rsidRDefault="00371422" w:rsidP="00C25D42">
      <w:pPr>
        <w:pStyle w:val="ListParagraph"/>
        <w:numPr>
          <w:ilvl w:val="0"/>
          <w:numId w:val="3"/>
        </w:numPr>
        <w:rPr>
          <w:lang w:eastAsia="en-GB"/>
        </w:rPr>
      </w:pPr>
      <w:r w:rsidRPr="00371422">
        <w:rPr>
          <w:lang w:eastAsia="en-GB"/>
        </w:rPr>
        <w:t>The OPE programme is delivered by the LGA in partnership with Cabinet Office</w:t>
      </w:r>
      <w:r w:rsidR="00770912">
        <w:rPr>
          <w:lang w:eastAsia="en-GB"/>
        </w:rPr>
        <w:t xml:space="preserve"> via</w:t>
      </w:r>
      <w:r w:rsidRPr="00371422">
        <w:rPr>
          <w:lang w:eastAsia="en-GB"/>
        </w:rPr>
        <w:t xml:space="preserve"> a contract. The </w:t>
      </w:r>
      <w:r w:rsidR="00616D17">
        <w:rPr>
          <w:lang w:eastAsia="en-GB"/>
        </w:rPr>
        <w:t xml:space="preserve">preceding year’s contract (2021/22) was extended by </w:t>
      </w:r>
      <w:r w:rsidR="009D7336">
        <w:rPr>
          <w:lang w:eastAsia="en-GB"/>
        </w:rPr>
        <w:t>3 months to June 30</w:t>
      </w:r>
      <w:r w:rsidR="009D7336" w:rsidRPr="009D7336">
        <w:rPr>
          <w:vertAlign w:val="superscript"/>
          <w:lang w:eastAsia="en-GB"/>
        </w:rPr>
        <w:t>th</w:t>
      </w:r>
      <w:proofErr w:type="gramStart"/>
      <w:r w:rsidR="009D7336">
        <w:rPr>
          <w:lang w:eastAsia="en-GB"/>
        </w:rPr>
        <w:t xml:space="preserve"> 2022</w:t>
      </w:r>
      <w:proofErr w:type="gramEnd"/>
      <w:r w:rsidR="009D7336">
        <w:rPr>
          <w:lang w:eastAsia="en-GB"/>
        </w:rPr>
        <w:t>, to enable a new contract to be put in place</w:t>
      </w:r>
      <w:r w:rsidR="00D61DFC">
        <w:rPr>
          <w:lang w:eastAsia="en-GB"/>
        </w:rPr>
        <w:t xml:space="preserve"> for 2022/23</w:t>
      </w:r>
      <w:r w:rsidR="009D7336">
        <w:rPr>
          <w:lang w:eastAsia="en-GB"/>
        </w:rPr>
        <w:t>. A new contract covers the period 1</w:t>
      </w:r>
      <w:r w:rsidR="009D7336" w:rsidRPr="009D7336">
        <w:rPr>
          <w:vertAlign w:val="superscript"/>
          <w:lang w:eastAsia="en-GB"/>
        </w:rPr>
        <w:t>st</w:t>
      </w:r>
      <w:r w:rsidR="009D7336">
        <w:rPr>
          <w:lang w:eastAsia="en-GB"/>
        </w:rPr>
        <w:t xml:space="preserve"> July 2022 to 31</w:t>
      </w:r>
      <w:r w:rsidR="009D7336" w:rsidRPr="009D7336">
        <w:rPr>
          <w:vertAlign w:val="superscript"/>
          <w:lang w:eastAsia="en-GB"/>
        </w:rPr>
        <w:t>st</w:t>
      </w:r>
      <w:r w:rsidR="009D7336">
        <w:rPr>
          <w:lang w:eastAsia="en-GB"/>
        </w:rPr>
        <w:t xml:space="preserve"> March 2023, and has provision for renewal </w:t>
      </w:r>
      <w:r w:rsidR="004412B9">
        <w:rPr>
          <w:lang w:eastAsia="en-GB"/>
        </w:rPr>
        <w:t xml:space="preserve">twice, </w:t>
      </w:r>
      <w:proofErr w:type="gramStart"/>
      <w:r w:rsidR="004412B9">
        <w:rPr>
          <w:lang w:eastAsia="en-GB"/>
        </w:rPr>
        <w:t>i.e.</w:t>
      </w:r>
      <w:proofErr w:type="gramEnd"/>
      <w:r w:rsidR="004412B9">
        <w:rPr>
          <w:lang w:eastAsia="en-GB"/>
        </w:rPr>
        <w:t xml:space="preserve"> covering the time period to 31</w:t>
      </w:r>
      <w:r w:rsidR="004412B9" w:rsidRPr="004412B9">
        <w:rPr>
          <w:vertAlign w:val="superscript"/>
          <w:lang w:eastAsia="en-GB"/>
        </w:rPr>
        <w:t>st</w:t>
      </w:r>
      <w:r w:rsidR="004412B9">
        <w:rPr>
          <w:lang w:eastAsia="en-GB"/>
        </w:rPr>
        <w:t xml:space="preserve"> March 2025.</w:t>
      </w:r>
      <w:r w:rsidRPr="00371422">
        <w:rPr>
          <w:lang w:eastAsia="en-GB"/>
        </w:rPr>
        <w:t xml:space="preserve"> </w:t>
      </w:r>
    </w:p>
    <w:p w14:paraId="687509E0" w14:textId="7336650B" w:rsidR="007771CB" w:rsidRDefault="00495DE6" w:rsidP="001B51E9">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61AD0881" w14:textId="77777777" w:rsidR="0005250F" w:rsidRDefault="00AF21DD" w:rsidP="00B272E0">
      <w:pPr>
        <w:pStyle w:val="ListParagraph"/>
        <w:numPr>
          <w:ilvl w:val="0"/>
          <w:numId w:val="3"/>
        </w:numPr>
      </w:pPr>
      <w:r>
        <w:t>The OPE programme continues to</w:t>
      </w:r>
      <w:r w:rsidR="0005250F">
        <w:t>:</w:t>
      </w:r>
    </w:p>
    <w:p w14:paraId="681E54D7" w14:textId="77777777" w:rsidR="0005250F" w:rsidRDefault="0005250F" w:rsidP="0005250F">
      <w:pPr>
        <w:pStyle w:val="ListParagraph"/>
        <w:numPr>
          <w:ilvl w:val="1"/>
          <w:numId w:val="3"/>
        </w:numPr>
      </w:pPr>
      <w:r>
        <w:t>W</w:t>
      </w:r>
      <w:r w:rsidR="00AF21DD">
        <w:t>ork with OPE partnerships to support</w:t>
      </w:r>
      <w:r w:rsidR="00C23424">
        <w:t xml:space="preserve"> previously funded </w:t>
      </w:r>
      <w:r w:rsidR="00AF21DD">
        <w:t>property projects through to delivery</w:t>
      </w:r>
    </w:p>
    <w:p w14:paraId="2BA5E38E" w14:textId="370A36A4" w:rsidR="0005250F" w:rsidRDefault="00AF0810" w:rsidP="0005250F">
      <w:pPr>
        <w:pStyle w:val="ListParagraph"/>
        <w:numPr>
          <w:ilvl w:val="1"/>
          <w:numId w:val="3"/>
        </w:numPr>
      </w:pPr>
      <w:r>
        <w:t>P</w:t>
      </w:r>
      <w:r w:rsidR="00DF1451">
        <w:t xml:space="preserve">romote, engage, </w:t>
      </w:r>
      <w:r w:rsidR="0005250F">
        <w:t xml:space="preserve">and </w:t>
      </w:r>
      <w:r w:rsidR="00DF1451">
        <w:t xml:space="preserve">administer </w:t>
      </w:r>
      <w:r w:rsidR="0005250F">
        <w:t>the new BLRF2 fund</w:t>
      </w:r>
    </w:p>
    <w:p w14:paraId="1A2F3F74" w14:textId="5491F7F2" w:rsidR="00AF21DD" w:rsidRDefault="00AF0810" w:rsidP="0005250F">
      <w:pPr>
        <w:pStyle w:val="ListParagraph"/>
        <w:numPr>
          <w:ilvl w:val="1"/>
          <w:numId w:val="3"/>
        </w:numPr>
      </w:pPr>
      <w:r>
        <w:t>Work with DLUHC to plan the future waves of BLRF2</w:t>
      </w:r>
      <w:r w:rsidR="00AF21DD">
        <w:t xml:space="preserve"> </w:t>
      </w:r>
    </w:p>
    <w:p w14:paraId="3978F375" w14:textId="1DDF14DC" w:rsidR="00AF0810" w:rsidRPr="0031300E" w:rsidRDefault="00AF0810" w:rsidP="00AF0810">
      <w:pPr>
        <w:pStyle w:val="ListParagraph"/>
        <w:numPr>
          <w:ilvl w:val="1"/>
          <w:numId w:val="3"/>
        </w:numPr>
        <w:rPr>
          <w:b/>
          <w:bCs/>
          <w:lang w:eastAsia="en-GB"/>
        </w:rPr>
      </w:pPr>
      <w:r>
        <w:rPr>
          <w:lang w:eastAsia="en-GB"/>
        </w:rPr>
        <w:t xml:space="preserve">Work with OGP and DLUHC partners on exploring and developing further interventions and approaches to support housing delivery and public land efficiency. </w:t>
      </w:r>
    </w:p>
    <w:p w14:paraId="3F67AE7D" w14:textId="74A341DF" w:rsidR="00770912" w:rsidRDefault="00C23424" w:rsidP="00AF0810">
      <w:pPr>
        <w:pStyle w:val="NormalWeb"/>
        <w:numPr>
          <w:ilvl w:val="0"/>
          <w:numId w:val="3"/>
        </w:numPr>
        <w:spacing w:before="0" w:beforeAutospacing="0" w:after="0" w:afterAutospacing="0" w:line="276" w:lineRule="auto"/>
        <w:ind w:left="357" w:hanging="357"/>
        <w:textAlignment w:val="baseline"/>
      </w:pPr>
      <w:r>
        <w:rPr>
          <w:rFonts w:ascii="Arial" w:hAnsi="Arial" w:cs="Arial"/>
          <w:color w:val="000000"/>
          <w:sz w:val="22"/>
          <w:szCs w:val="22"/>
        </w:rPr>
        <w:t>From an operational perspective, t</w:t>
      </w:r>
      <w:r w:rsidR="00770912" w:rsidRPr="00770912">
        <w:rPr>
          <w:rFonts w:ascii="Arial" w:hAnsi="Arial" w:cs="Arial"/>
          <w:color w:val="000000"/>
          <w:sz w:val="22"/>
          <w:szCs w:val="22"/>
        </w:rPr>
        <w:t xml:space="preserve">he OPE programme </w:t>
      </w:r>
      <w:r w:rsidR="004412B9">
        <w:rPr>
          <w:rFonts w:ascii="Arial" w:hAnsi="Arial" w:cs="Arial"/>
          <w:color w:val="000000"/>
          <w:sz w:val="22"/>
          <w:szCs w:val="22"/>
        </w:rPr>
        <w:t xml:space="preserve">successfully </w:t>
      </w:r>
      <w:r w:rsidR="00770912" w:rsidRPr="00770912">
        <w:rPr>
          <w:rFonts w:ascii="Arial" w:hAnsi="Arial" w:cs="Arial"/>
          <w:color w:val="000000"/>
          <w:sz w:val="22"/>
          <w:szCs w:val="22"/>
        </w:rPr>
        <w:t>expand</w:t>
      </w:r>
      <w:r w:rsidR="003600A9">
        <w:rPr>
          <w:rFonts w:ascii="Arial" w:hAnsi="Arial" w:cs="Arial"/>
          <w:color w:val="000000"/>
          <w:sz w:val="22"/>
          <w:szCs w:val="22"/>
        </w:rPr>
        <w:t>ed and restr</w:t>
      </w:r>
      <w:r w:rsidR="00AF0810">
        <w:rPr>
          <w:rFonts w:ascii="Arial" w:hAnsi="Arial" w:cs="Arial"/>
          <w:color w:val="000000"/>
          <w:sz w:val="22"/>
          <w:szCs w:val="22"/>
        </w:rPr>
        <w:t>uctured</w:t>
      </w:r>
      <w:r w:rsidR="003600A9">
        <w:rPr>
          <w:rFonts w:ascii="Arial" w:hAnsi="Arial" w:cs="Arial"/>
          <w:color w:val="000000"/>
          <w:sz w:val="22"/>
          <w:szCs w:val="22"/>
        </w:rPr>
        <w:t xml:space="preserve"> the </w:t>
      </w:r>
      <w:r w:rsidR="00770912" w:rsidRPr="00770912">
        <w:rPr>
          <w:rFonts w:ascii="Arial" w:hAnsi="Arial" w:cs="Arial"/>
          <w:color w:val="000000"/>
          <w:sz w:val="22"/>
          <w:szCs w:val="22"/>
        </w:rPr>
        <w:t xml:space="preserve">OPE team </w:t>
      </w:r>
      <w:r w:rsidR="006556D0">
        <w:rPr>
          <w:rFonts w:ascii="Arial" w:hAnsi="Arial" w:cs="Arial"/>
          <w:color w:val="000000"/>
          <w:sz w:val="22"/>
          <w:szCs w:val="22"/>
        </w:rPr>
        <w:t xml:space="preserve">during 2021/22 </w:t>
      </w:r>
      <w:r w:rsidR="00770912" w:rsidRPr="00770912">
        <w:rPr>
          <w:rFonts w:ascii="Arial" w:hAnsi="Arial" w:cs="Arial"/>
          <w:color w:val="000000"/>
          <w:sz w:val="22"/>
          <w:szCs w:val="22"/>
        </w:rPr>
        <w:t xml:space="preserve">to ensure the successful achievement of </w:t>
      </w:r>
      <w:r w:rsidR="003600A9">
        <w:rPr>
          <w:rFonts w:ascii="Arial" w:hAnsi="Arial" w:cs="Arial"/>
          <w:color w:val="000000"/>
          <w:sz w:val="22"/>
          <w:szCs w:val="22"/>
        </w:rPr>
        <w:t xml:space="preserve">the larger </w:t>
      </w:r>
      <w:r w:rsidR="00770912" w:rsidRPr="00770912">
        <w:rPr>
          <w:rFonts w:ascii="Arial" w:hAnsi="Arial" w:cs="Arial"/>
          <w:color w:val="000000"/>
          <w:sz w:val="22"/>
          <w:szCs w:val="22"/>
        </w:rPr>
        <w:t>BLRF</w:t>
      </w:r>
      <w:r w:rsidR="003600A9">
        <w:rPr>
          <w:rFonts w:ascii="Arial" w:hAnsi="Arial" w:cs="Arial"/>
          <w:color w:val="000000"/>
          <w:sz w:val="22"/>
          <w:szCs w:val="22"/>
        </w:rPr>
        <w:t xml:space="preserve"> programmes, alongside continuing </w:t>
      </w:r>
      <w:r w:rsidR="006227D2">
        <w:rPr>
          <w:rFonts w:ascii="Arial" w:hAnsi="Arial" w:cs="Arial"/>
          <w:color w:val="000000"/>
          <w:sz w:val="22"/>
          <w:szCs w:val="22"/>
        </w:rPr>
        <w:t xml:space="preserve">support for OPE funded projects and OPE support offers. </w:t>
      </w:r>
      <w:r w:rsidR="00770912" w:rsidRPr="00770912">
        <w:rPr>
          <w:rFonts w:ascii="Arial" w:hAnsi="Arial" w:cs="Arial"/>
          <w:color w:val="000000"/>
          <w:sz w:val="22"/>
          <w:szCs w:val="22"/>
        </w:rPr>
        <w:t xml:space="preserve"> </w:t>
      </w:r>
    </w:p>
    <w:p w14:paraId="02ED0DBB" w14:textId="7830DFD4" w:rsidR="00E1526E" w:rsidRDefault="003E206A" w:rsidP="009A1DF0">
      <w:pPr>
        <w:ind w:left="0" w:firstLine="0"/>
      </w:pPr>
      <w:r>
        <w:tab/>
      </w:r>
    </w:p>
    <w:p w14:paraId="2EE3CC79" w14:textId="77777777" w:rsidR="00C66A9B" w:rsidRDefault="00C66A9B" w:rsidP="004B717D">
      <w:pPr>
        <w:rPr>
          <w:b/>
          <w:bCs/>
        </w:rPr>
      </w:pPr>
    </w:p>
    <w:p w14:paraId="3C6E7519" w14:textId="77777777" w:rsidR="00C66A9B" w:rsidRDefault="00C66A9B" w:rsidP="004B717D">
      <w:pPr>
        <w:rPr>
          <w:b/>
          <w:bCs/>
        </w:rPr>
      </w:pPr>
    </w:p>
    <w:p w14:paraId="31833D2A" w14:textId="77777777" w:rsidR="00C66A9B" w:rsidRDefault="00C66A9B" w:rsidP="004B717D">
      <w:pPr>
        <w:rPr>
          <w:b/>
          <w:bCs/>
        </w:rPr>
      </w:pPr>
    </w:p>
    <w:p w14:paraId="0F74684F" w14:textId="77777777" w:rsidR="00C66A9B" w:rsidRDefault="00C66A9B" w:rsidP="004B717D">
      <w:pPr>
        <w:rPr>
          <w:b/>
          <w:bCs/>
        </w:rPr>
      </w:pPr>
    </w:p>
    <w:p w14:paraId="443F87A8" w14:textId="77777777" w:rsidR="00C66A9B" w:rsidRDefault="00C66A9B" w:rsidP="004B717D">
      <w:pPr>
        <w:rPr>
          <w:b/>
          <w:bCs/>
        </w:rPr>
      </w:pPr>
    </w:p>
    <w:p w14:paraId="50E77B45" w14:textId="77777777" w:rsidR="00C66A9B" w:rsidRDefault="00C66A9B" w:rsidP="004B717D">
      <w:pPr>
        <w:rPr>
          <w:b/>
          <w:bCs/>
        </w:rPr>
      </w:pPr>
    </w:p>
    <w:p w14:paraId="17BA3162" w14:textId="77777777" w:rsidR="00C66A9B" w:rsidRDefault="00C66A9B" w:rsidP="004B717D">
      <w:pPr>
        <w:rPr>
          <w:b/>
          <w:bCs/>
        </w:rPr>
      </w:pPr>
    </w:p>
    <w:p w14:paraId="2DB686C7" w14:textId="77777777" w:rsidR="007D3564" w:rsidRDefault="004B717D" w:rsidP="004B717D">
      <w:pPr>
        <w:rPr>
          <w:b/>
          <w:bCs/>
          <w:sz w:val="28"/>
          <w:szCs w:val="28"/>
          <w:u w:val="single"/>
        </w:rPr>
      </w:pPr>
      <w:r w:rsidRPr="007D3564">
        <w:rPr>
          <w:b/>
          <w:bCs/>
          <w:sz w:val="28"/>
          <w:szCs w:val="28"/>
          <w:u w:val="single"/>
        </w:rPr>
        <w:lastRenderedPageBreak/>
        <w:t>APPENDIX A</w:t>
      </w:r>
    </w:p>
    <w:p w14:paraId="7E760247" w14:textId="0D2BCFB8" w:rsidR="004B717D" w:rsidRPr="007D3564" w:rsidRDefault="004B717D" w:rsidP="004B717D">
      <w:pPr>
        <w:rPr>
          <w:b/>
          <w:bCs/>
          <w:sz w:val="28"/>
          <w:szCs w:val="28"/>
          <w:u w:val="single"/>
        </w:rPr>
      </w:pPr>
      <w:r w:rsidRPr="007D3564">
        <w:rPr>
          <w:b/>
          <w:bCs/>
          <w:sz w:val="28"/>
          <w:szCs w:val="28"/>
          <w:u w:val="single"/>
        </w:rPr>
        <w:t>ONE PUBLIC ESTATE and LAND RELEASE FUND CASE STUDIES</w:t>
      </w:r>
    </w:p>
    <w:p w14:paraId="5D696111" w14:textId="2EBDA125" w:rsidR="00D572CD" w:rsidRDefault="00D572CD" w:rsidP="004B717D">
      <w:pPr>
        <w:rPr>
          <w:b/>
          <w:bCs/>
        </w:rPr>
      </w:pPr>
    </w:p>
    <w:p w14:paraId="3BDBC55C" w14:textId="77777777" w:rsidR="00D572CD" w:rsidRPr="004B717D" w:rsidRDefault="00D572CD" w:rsidP="004B717D">
      <w:pPr>
        <w:rPr>
          <w:b/>
          <w:bCs/>
        </w:rPr>
      </w:pPr>
    </w:p>
    <w:p w14:paraId="02B3C828" w14:textId="2013B94B" w:rsidR="004B717D" w:rsidRDefault="000F454F" w:rsidP="004B717D">
      <w:pPr>
        <w:rPr>
          <w:b/>
          <w:bCs/>
        </w:rPr>
      </w:pPr>
      <w:r>
        <w:rPr>
          <w:rFonts w:eastAsia="Times New Roman" w:cs="Arial"/>
          <w:noProof/>
          <w:color w:val="000000"/>
          <w:u w:val="single"/>
          <w:lang w:eastAsia="en-GB"/>
        </w:rPr>
        <w:drawing>
          <wp:anchor distT="0" distB="0" distL="114300" distR="114300" simplePos="0" relativeHeight="251666432" behindDoc="0" locked="0" layoutInCell="1" allowOverlap="1" wp14:anchorId="04847A33" wp14:editId="3935E718">
            <wp:simplePos x="0" y="0"/>
            <wp:positionH relativeFrom="margin">
              <wp:posOffset>-635000</wp:posOffset>
            </wp:positionH>
            <wp:positionV relativeFrom="paragraph">
              <wp:posOffset>318770</wp:posOffset>
            </wp:positionV>
            <wp:extent cx="7000240" cy="2057400"/>
            <wp:effectExtent l="0" t="0" r="0" b="0"/>
            <wp:wrapThrough wrapText="bothSides">
              <wp:wrapPolygon edited="0">
                <wp:start x="0" y="0"/>
                <wp:lineTo x="0" y="21400"/>
                <wp:lineTo x="21514" y="21400"/>
                <wp:lineTo x="21514" y="0"/>
                <wp:lineTo x="0" y="0"/>
              </wp:wrapPolygon>
            </wp:wrapThrough>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000240" cy="2057400"/>
                    </a:xfrm>
                    <a:prstGeom prst="rect">
                      <a:avLst/>
                    </a:prstGeom>
                  </pic:spPr>
                </pic:pic>
              </a:graphicData>
            </a:graphic>
            <wp14:sizeRelH relativeFrom="page">
              <wp14:pctWidth>0</wp14:pctWidth>
            </wp14:sizeRelH>
            <wp14:sizeRelV relativeFrom="page">
              <wp14:pctHeight>0</wp14:pctHeight>
            </wp14:sizeRelV>
          </wp:anchor>
        </w:drawing>
      </w:r>
      <w:r w:rsidR="004B717D" w:rsidRPr="004B717D">
        <w:rPr>
          <w:b/>
          <w:bCs/>
        </w:rPr>
        <w:t xml:space="preserve">One Public Estate </w:t>
      </w:r>
    </w:p>
    <w:p w14:paraId="424DF687" w14:textId="16C1B399" w:rsidR="00EC6F40" w:rsidRDefault="00EC6F40" w:rsidP="004B717D">
      <w:pPr>
        <w:spacing w:after="0" w:line="240" w:lineRule="auto"/>
        <w:textAlignment w:val="baseline"/>
        <w:rPr>
          <w:rFonts w:eastAsia="Times New Roman" w:cs="Arial"/>
          <w:color w:val="000000"/>
          <w:u w:val="single"/>
          <w:lang w:eastAsia="en-GB"/>
        </w:rPr>
      </w:pPr>
    </w:p>
    <w:p w14:paraId="07CE1077" w14:textId="6CFB75E6" w:rsidR="00EC6F40" w:rsidRDefault="00EC6F40" w:rsidP="004B717D">
      <w:pPr>
        <w:spacing w:after="0" w:line="240" w:lineRule="auto"/>
        <w:textAlignment w:val="baseline"/>
        <w:rPr>
          <w:rFonts w:eastAsia="Times New Roman" w:cs="Arial"/>
          <w:color w:val="000000"/>
          <w:u w:val="single"/>
          <w:lang w:eastAsia="en-GB"/>
        </w:rPr>
      </w:pPr>
    </w:p>
    <w:p w14:paraId="5537A945" w14:textId="77777777" w:rsidR="00111443" w:rsidRDefault="00111443" w:rsidP="004B717D">
      <w:pPr>
        <w:spacing w:after="0" w:line="240" w:lineRule="auto"/>
        <w:textAlignment w:val="baseline"/>
        <w:rPr>
          <w:rFonts w:eastAsia="Times New Roman" w:cs="Arial"/>
          <w:b/>
          <w:bCs/>
          <w:color w:val="000000"/>
          <w:lang w:eastAsia="en-GB"/>
        </w:rPr>
      </w:pPr>
    </w:p>
    <w:p w14:paraId="562E197E" w14:textId="4F7D4D33" w:rsidR="00EC6F40" w:rsidRDefault="00C66A9B" w:rsidP="004B717D">
      <w:pPr>
        <w:spacing w:after="0" w:line="240" w:lineRule="auto"/>
        <w:textAlignment w:val="baseline"/>
        <w:rPr>
          <w:rFonts w:eastAsia="Times New Roman" w:cs="Arial"/>
          <w:color w:val="000000"/>
          <w:u w:val="single"/>
          <w:lang w:eastAsia="en-GB"/>
        </w:rPr>
      </w:pPr>
      <w:r w:rsidRPr="00C66A9B">
        <w:rPr>
          <w:rFonts w:eastAsia="Times New Roman" w:cs="Arial"/>
          <w:b/>
          <w:bCs/>
          <w:color w:val="000000"/>
          <w:lang w:eastAsia="en-GB"/>
        </w:rPr>
        <w:t>Brownfield/Land Release Fund</w:t>
      </w:r>
    </w:p>
    <w:p w14:paraId="0918FA69" w14:textId="2795E279" w:rsidR="00EC6F40" w:rsidRDefault="00111443" w:rsidP="004B717D">
      <w:pPr>
        <w:spacing w:after="0" w:line="240" w:lineRule="auto"/>
        <w:textAlignment w:val="baseline"/>
        <w:rPr>
          <w:rFonts w:eastAsia="Times New Roman" w:cs="Arial"/>
          <w:color w:val="000000"/>
          <w:u w:val="single"/>
          <w:lang w:eastAsia="en-GB"/>
        </w:rPr>
      </w:pPr>
      <w:r>
        <w:rPr>
          <w:rFonts w:eastAsia="Times New Roman" w:cs="Arial"/>
          <w:noProof/>
          <w:color w:val="000000"/>
          <w:u w:val="single"/>
          <w:lang w:eastAsia="en-GB"/>
        </w:rPr>
        <w:drawing>
          <wp:anchor distT="0" distB="0" distL="114300" distR="114300" simplePos="0" relativeHeight="251667456" behindDoc="0" locked="0" layoutInCell="1" allowOverlap="1" wp14:anchorId="50F00F87" wp14:editId="3FE2A41D">
            <wp:simplePos x="0" y="0"/>
            <wp:positionH relativeFrom="column">
              <wp:posOffset>-588645</wp:posOffset>
            </wp:positionH>
            <wp:positionV relativeFrom="paragraph">
              <wp:posOffset>226695</wp:posOffset>
            </wp:positionV>
            <wp:extent cx="6997065" cy="1746885"/>
            <wp:effectExtent l="0" t="0" r="0" b="5715"/>
            <wp:wrapThrough wrapText="bothSides">
              <wp:wrapPolygon edited="0">
                <wp:start x="0" y="0"/>
                <wp:lineTo x="0" y="21435"/>
                <wp:lineTo x="21524" y="21435"/>
                <wp:lineTo x="21524" y="0"/>
                <wp:lineTo x="0" y="0"/>
              </wp:wrapPolygon>
            </wp:wrapThrough>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997065" cy="1746885"/>
                    </a:xfrm>
                    <a:prstGeom prst="rect">
                      <a:avLst/>
                    </a:prstGeom>
                  </pic:spPr>
                </pic:pic>
              </a:graphicData>
            </a:graphic>
            <wp14:sizeRelH relativeFrom="page">
              <wp14:pctWidth>0</wp14:pctWidth>
            </wp14:sizeRelH>
            <wp14:sizeRelV relativeFrom="page">
              <wp14:pctHeight>0</wp14:pctHeight>
            </wp14:sizeRelV>
          </wp:anchor>
        </w:drawing>
      </w:r>
    </w:p>
    <w:p w14:paraId="4B2F1F42" w14:textId="3EEEACC6" w:rsidR="00EC6F40" w:rsidRDefault="00EC6F40" w:rsidP="004B717D">
      <w:pPr>
        <w:spacing w:after="0" w:line="240" w:lineRule="auto"/>
        <w:textAlignment w:val="baseline"/>
        <w:rPr>
          <w:rFonts w:eastAsia="Times New Roman" w:cs="Arial"/>
          <w:color w:val="000000"/>
          <w:u w:val="single"/>
          <w:lang w:eastAsia="en-GB"/>
        </w:rPr>
      </w:pPr>
    </w:p>
    <w:sectPr w:rsidR="00EC6F40" w:rsidSect="00FD21DD">
      <w:headerReference w:type="default" r:id="rId15"/>
      <w:footerReference w:type="default" r:id="rId16"/>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5227" w14:textId="77777777" w:rsidR="00D41D12" w:rsidRPr="00C803F3" w:rsidRDefault="00D41D12" w:rsidP="00C803F3">
      <w:r>
        <w:separator/>
      </w:r>
    </w:p>
  </w:endnote>
  <w:endnote w:type="continuationSeparator" w:id="0">
    <w:p w14:paraId="0D8C2B70" w14:textId="77777777" w:rsidR="00D41D12" w:rsidRPr="00C803F3" w:rsidRDefault="00D41D12" w:rsidP="00C803F3">
      <w:r>
        <w:continuationSeparator/>
      </w:r>
    </w:p>
  </w:endnote>
  <w:endnote w:type="continuationNotice" w:id="1">
    <w:p w14:paraId="081DB605" w14:textId="77777777" w:rsidR="00D41D12" w:rsidRDefault="00D41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FF07" w14:textId="77777777" w:rsidR="00FD21DD" w:rsidRPr="001C1540" w:rsidRDefault="00FD21DD" w:rsidP="00FD21DD">
    <w:pPr>
      <w:pStyle w:val="Address"/>
      <w:ind w:left="-709" w:right="-1180"/>
      <w:rPr>
        <w:rFonts w:ascii="Arial" w:hAnsi="Arial" w:cs="Arial"/>
        <w:sz w:val="15"/>
        <w:szCs w:val="15"/>
      </w:rPr>
    </w:pPr>
    <w:r w:rsidRPr="004755BE">
      <w:rPr>
        <w:rFonts w:ascii="Arial" w:hAnsi="Arial" w:cs="Arial"/>
        <w:sz w:val="15"/>
        <w:szCs w:val="15"/>
      </w:rPr>
      <w:t xml:space="preserve">18 Smith Square, London, SW1P 3HZ  </w:t>
    </w:r>
    <w:r>
      <w:rPr>
        <w:rFonts w:ascii="Arial" w:hAnsi="Arial" w:cs="Arial"/>
        <w:sz w:val="15"/>
        <w:szCs w:val="15"/>
      </w:rPr>
      <w:t xml:space="preserve"> </w:t>
    </w:r>
    <w:r w:rsidRPr="004755BE">
      <w:rPr>
        <w:rFonts w:ascii="Arial" w:hAnsi="Arial" w:cs="Arial"/>
        <w:sz w:val="15"/>
        <w:szCs w:val="15"/>
      </w:rPr>
      <w:t xml:space="preserve">   </w:t>
    </w:r>
    <w:hyperlink r:id="rId1" w:history="1">
      <w:r w:rsidRPr="004755BE">
        <w:rPr>
          <w:rStyle w:val="Hyperlink"/>
          <w:rFonts w:ascii="Arial" w:hAnsi="Arial" w:cs="Arial"/>
          <w:sz w:val="15"/>
          <w:szCs w:val="15"/>
        </w:rPr>
        <w:t>www.local.gov.uk</w:t>
      </w:r>
    </w:hyperlink>
    <w:r w:rsidRPr="004755BE">
      <w:rPr>
        <w:rFonts w:ascii="Arial" w:hAnsi="Arial" w:cs="Arial"/>
        <w:sz w:val="15"/>
        <w:szCs w:val="15"/>
      </w:rPr>
      <w:t xml:space="preserve">   </w:t>
    </w:r>
    <w:r>
      <w:rPr>
        <w:rFonts w:ascii="Arial" w:hAnsi="Arial" w:cs="Arial"/>
        <w:sz w:val="15"/>
        <w:szCs w:val="15"/>
      </w:rPr>
      <w:t xml:space="preserve"> </w:t>
    </w:r>
    <w:r w:rsidRPr="004755BE">
      <w:rPr>
        <w:rFonts w:ascii="Arial" w:hAnsi="Arial" w:cs="Arial"/>
        <w:sz w:val="15"/>
        <w:szCs w:val="15"/>
      </w:rPr>
      <w:t xml:space="preserve"> </w:t>
    </w:r>
    <w:r w:rsidRPr="004755BE">
      <w:rPr>
        <w:rFonts w:ascii="Arial" w:hAnsi="Arial" w:cs="Arial"/>
        <w:b/>
        <w:sz w:val="15"/>
        <w:szCs w:val="15"/>
      </w:rPr>
      <w:t>Tel</w:t>
    </w:r>
    <w:r>
      <w:rPr>
        <w:rFonts w:ascii="Arial" w:hAnsi="Arial" w:cs="Arial"/>
        <w:b/>
        <w:sz w:val="15"/>
        <w:szCs w:val="15"/>
      </w:rPr>
      <w:t>ephone</w:t>
    </w:r>
    <w:r w:rsidRPr="004755BE">
      <w:rPr>
        <w:rFonts w:ascii="Arial" w:hAnsi="Arial" w:cs="Arial"/>
        <w:b/>
        <w:sz w:val="15"/>
        <w:szCs w:val="15"/>
      </w:rPr>
      <w:t xml:space="preserve"> </w:t>
    </w:r>
    <w:r w:rsidRPr="004755BE">
      <w:rPr>
        <w:rFonts w:ascii="Arial" w:hAnsi="Arial" w:cs="Arial"/>
        <w:sz w:val="15"/>
        <w:szCs w:val="15"/>
      </w:rPr>
      <w:t xml:space="preserve">020 7664 3000   </w:t>
    </w:r>
    <w:r>
      <w:rPr>
        <w:rFonts w:ascii="Arial" w:hAnsi="Arial" w:cs="Arial"/>
        <w:sz w:val="15"/>
        <w:szCs w:val="15"/>
      </w:rPr>
      <w:t xml:space="preserve"> </w:t>
    </w:r>
    <w:r w:rsidRPr="004755BE">
      <w:rPr>
        <w:rFonts w:ascii="Arial" w:hAnsi="Arial" w:cs="Arial"/>
        <w:sz w:val="15"/>
        <w:szCs w:val="15"/>
      </w:rPr>
      <w:t xml:space="preserve">  </w:t>
    </w:r>
    <w:r w:rsidRPr="004755BE">
      <w:rPr>
        <w:rFonts w:ascii="Arial" w:hAnsi="Arial" w:cs="Arial"/>
        <w:b/>
        <w:sz w:val="15"/>
        <w:szCs w:val="15"/>
      </w:rPr>
      <w:t xml:space="preserve">Email </w:t>
    </w:r>
    <w:hyperlink r:id="rId2" w:history="1">
      <w:r w:rsidRPr="004755BE">
        <w:rPr>
          <w:rStyle w:val="Hyperlink"/>
          <w:rFonts w:ascii="Arial" w:hAnsi="Arial" w:cs="Arial"/>
          <w:sz w:val="15"/>
          <w:szCs w:val="15"/>
        </w:rPr>
        <w:t>info@local.gov.uk</w:t>
      </w:r>
    </w:hyperlink>
    <w:r w:rsidRPr="004755BE">
      <w:rPr>
        <w:rFonts w:ascii="Arial" w:hAnsi="Arial" w:cs="Arial"/>
        <w:sz w:val="15"/>
        <w:szCs w:val="15"/>
      </w:rPr>
      <w:t xml:space="preserve">     </w:t>
    </w:r>
    <w:r w:rsidRPr="004755BE">
      <w:rPr>
        <w:rFonts w:ascii="Arial" w:hAnsi="Arial" w:cs="Arial"/>
        <w:b/>
        <w:sz w:val="15"/>
        <w:szCs w:val="15"/>
      </w:rPr>
      <w:t>Chief Executive:</w:t>
    </w:r>
    <w:r w:rsidRPr="004755BE">
      <w:rPr>
        <w:rFonts w:ascii="Arial" w:hAnsi="Arial" w:cs="Arial"/>
        <w:sz w:val="15"/>
        <w:szCs w:val="15"/>
      </w:rPr>
      <w:t xml:space="preserve"> Mark</w:t>
    </w:r>
    <w:r>
      <w:rPr>
        <w:rFonts w:ascii="Arial" w:hAnsi="Arial" w:cs="Arial"/>
        <w:sz w:val="15"/>
        <w:szCs w:val="15"/>
      </w:rPr>
      <w:t xml:space="preserve"> </w:t>
    </w:r>
    <w:r w:rsidRPr="004755BE">
      <w:rPr>
        <w:rFonts w:ascii="Arial" w:hAnsi="Arial" w:cs="Arial"/>
        <w:sz w:val="15"/>
        <w:szCs w:val="15"/>
      </w:rPr>
      <w:t xml:space="preserve">Lloyd </w:t>
    </w:r>
    <w:r w:rsidRPr="004755BE">
      <w:rPr>
        <w:rFonts w:ascii="Arial" w:hAnsi="Arial" w:cs="Arial"/>
        <w:sz w:val="15"/>
        <w:szCs w:val="15"/>
      </w:rPr>
      <w:br/>
      <w:t xml:space="preserve">Local Government Association </w:t>
    </w:r>
    <w:r w:rsidRPr="004755BE">
      <w:rPr>
        <w:rFonts w:ascii="Arial" w:hAnsi="Arial" w:cs="Arial"/>
        <w:noProof/>
        <w:sz w:val="15"/>
        <w:szCs w:val="15"/>
      </w:rPr>
      <w:t xml:space="preserve">company number </w:t>
    </w:r>
    <w:proofErr w:type="gramStart"/>
    <w:r w:rsidRPr="004755BE">
      <w:rPr>
        <w:rFonts w:ascii="Arial" w:hAnsi="Arial" w:cs="Arial"/>
        <w:noProof/>
        <w:sz w:val="15"/>
        <w:szCs w:val="15"/>
      </w:rPr>
      <w:t>11177145</w:t>
    </w:r>
    <w:r w:rsidRPr="004755BE">
      <w:rPr>
        <w:rFonts w:ascii="Arial" w:hAnsi="Arial" w:cs="Arial"/>
        <w:sz w:val="15"/>
        <w:szCs w:val="15"/>
      </w:rPr>
      <w:t>  Improvement</w:t>
    </w:r>
    <w:proofErr w:type="gramEnd"/>
    <w:r w:rsidRPr="004755BE">
      <w:rPr>
        <w:rFonts w:ascii="Arial" w:hAnsi="Arial" w:cs="Arial"/>
        <w:sz w:val="15"/>
        <w:szCs w:val="15"/>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0142" w14:textId="77777777" w:rsidR="00D41D12" w:rsidRPr="00C803F3" w:rsidRDefault="00D41D12" w:rsidP="00C803F3">
      <w:r>
        <w:separator/>
      </w:r>
    </w:p>
  </w:footnote>
  <w:footnote w:type="continuationSeparator" w:id="0">
    <w:p w14:paraId="0A96811E" w14:textId="77777777" w:rsidR="00D41D12" w:rsidRPr="00C803F3" w:rsidRDefault="00D41D12" w:rsidP="00C803F3">
      <w:r>
        <w:continuationSeparator/>
      </w:r>
    </w:p>
  </w:footnote>
  <w:footnote w:type="continuationNotice" w:id="1">
    <w:p w14:paraId="280F5FFE" w14:textId="77777777" w:rsidR="00D41D12" w:rsidRDefault="00D41D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7AC6" w14:textId="77777777" w:rsidR="000528D5" w:rsidRDefault="000528D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528D5" w:rsidRPr="00C25CA7" w14:paraId="30858CDA" w14:textId="77777777" w:rsidTr="000F69FB">
      <w:trPr>
        <w:trHeight w:val="416"/>
      </w:trPr>
      <w:tc>
        <w:tcPr>
          <w:tcW w:w="5812" w:type="dxa"/>
          <w:vMerge w:val="restart"/>
        </w:tcPr>
        <w:p w14:paraId="0B3FC3B1" w14:textId="77777777" w:rsidR="000528D5" w:rsidRPr="00C803F3" w:rsidRDefault="000528D5" w:rsidP="00C803F3">
          <w:r w:rsidRPr="00C803F3">
            <w:rPr>
              <w:noProof/>
              <w:lang w:eastAsia="en-GB"/>
            </w:rPr>
            <w:drawing>
              <wp:inline distT="0" distB="0" distL="0" distR="0" wp14:anchorId="0256D91B" wp14:editId="58D38FDD">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284314E6" w14:textId="0DCA9DFF" w:rsidR="000528D5" w:rsidRPr="00C803F3" w:rsidRDefault="000528D5" w:rsidP="00C95837">
              <w:r w:rsidRPr="003E1E6A">
                <w:rPr>
                  <w:b/>
                </w:rPr>
                <w:t>Improvement and Innovation Board</w:t>
              </w:r>
            </w:p>
          </w:tc>
        </w:sdtContent>
      </w:sdt>
    </w:tr>
    <w:tr w:rsidR="000528D5" w14:paraId="0BC35776" w14:textId="77777777" w:rsidTr="000F69FB">
      <w:trPr>
        <w:trHeight w:val="406"/>
      </w:trPr>
      <w:tc>
        <w:tcPr>
          <w:tcW w:w="5812" w:type="dxa"/>
          <w:vMerge/>
        </w:tcPr>
        <w:p w14:paraId="0E79641C" w14:textId="77777777" w:rsidR="000528D5" w:rsidRPr="00A627DD" w:rsidRDefault="000528D5" w:rsidP="00C803F3"/>
      </w:tc>
      <w:tc>
        <w:tcPr>
          <w:tcW w:w="4106" w:type="dxa"/>
        </w:tcPr>
        <w:sdt>
          <w:sdtPr>
            <w:alias w:val="Date"/>
            <w:tag w:val="Date"/>
            <w:id w:val="-488943452"/>
            <w:placeholder>
              <w:docPart w:val="DC36D9B85A214F14AB68618A90760C36"/>
            </w:placeholder>
            <w:date w:fullDate="2022-07-28T00:00:00Z">
              <w:dateFormat w:val="dd MMMM yyyy"/>
              <w:lid w:val="en-GB"/>
              <w:storeMappedDataAs w:val="dateTime"/>
              <w:calendar w:val="gregorian"/>
            </w:date>
          </w:sdtPr>
          <w:sdtEndPr/>
          <w:sdtContent>
            <w:p w14:paraId="620242A3" w14:textId="1705C09C" w:rsidR="000528D5" w:rsidRPr="00C803F3" w:rsidRDefault="003354AF" w:rsidP="00EF01DB">
              <w:r>
                <w:t>28</w:t>
              </w:r>
              <w:r w:rsidR="00D06492">
                <w:t xml:space="preserve"> J</w:t>
              </w:r>
              <w:r>
                <w:t>ul</w:t>
              </w:r>
              <w:r w:rsidR="00D06492">
                <w:t>y 202</w:t>
              </w:r>
              <w:r>
                <w:t>2</w:t>
              </w:r>
            </w:p>
          </w:sdtContent>
        </w:sdt>
      </w:tc>
    </w:tr>
    <w:tr w:rsidR="000528D5" w:rsidRPr="00C25CA7" w14:paraId="3C7C1D80" w14:textId="77777777" w:rsidTr="000F69FB">
      <w:trPr>
        <w:trHeight w:val="89"/>
      </w:trPr>
      <w:tc>
        <w:tcPr>
          <w:tcW w:w="5812" w:type="dxa"/>
          <w:vMerge/>
        </w:tcPr>
        <w:p w14:paraId="5FFF0116" w14:textId="77777777" w:rsidR="000528D5" w:rsidRPr="00A627DD" w:rsidRDefault="000528D5" w:rsidP="00C803F3"/>
      </w:tc>
      <w:tc>
        <w:tcPr>
          <w:tcW w:w="4106" w:type="dxa"/>
        </w:tcPr>
        <w:p w14:paraId="54D9A42C" w14:textId="315BE837" w:rsidR="000528D5" w:rsidRPr="00C803F3" w:rsidRDefault="000528D5" w:rsidP="00C803F3"/>
      </w:tc>
    </w:tr>
  </w:tbl>
  <w:p w14:paraId="00849876" w14:textId="77777777" w:rsidR="000528D5" w:rsidRDefault="00052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E1C"/>
    <w:multiLevelType w:val="hybridMultilevel"/>
    <w:tmpl w:val="DC86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3772B"/>
    <w:multiLevelType w:val="multilevel"/>
    <w:tmpl w:val="3C96A646"/>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994CB7"/>
    <w:multiLevelType w:val="hybridMultilevel"/>
    <w:tmpl w:val="B49A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D7247"/>
    <w:multiLevelType w:val="multilevel"/>
    <w:tmpl w:val="3C96A646"/>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830853"/>
    <w:multiLevelType w:val="multilevel"/>
    <w:tmpl w:val="FFC8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DF6B85"/>
    <w:multiLevelType w:val="multilevel"/>
    <w:tmpl w:val="2182E2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1AB2A65"/>
    <w:multiLevelType w:val="multilevel"/>
    <w:tmpl w:val="3C96A646"/>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16681C"/>
    <w:multiLevelType w:val="multilevel"/>
    <w:tmpl w:val="70944574"/>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522DAA"/>
    <w:multiLevelType w:val="multilevel"/>
    <w:tmpl w:val="12E07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231BE"/>
    <w:multiLevelType w:val="multilevel"/>
    <w:tmpl w:val="2170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237F1D"/>
    <w:multiLevelType w:val="multilevel"/>
    <w:tmpl w:val="96084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752593"/>
    <w:multiLevelType w:val="multilevel"/>
    <w:tmpl w:val="5AE0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7"/>
  </w:num>
  <w:num w:numId="5">
    <w:abstractNumId w:val="2"/>
  </w:num>
  <w:num w:numId="6">
    <w:abstractNumId w:val="0"/>
  </w:num>
  <w:num w:numId="7">
    <w:abstractNumId w:val="11"/>
    <w:lvlOverride w:ilvl="0">
      <w:lvl w:ilvl="0">
        <w:numFmt w:val="lowerLetter"/>
        <w:lvlText w:val="%1."/>
        <w:lvlJc w:val="left"/>
      </w:lvl>
    </w:lvlOverride>
  </w:num>
  <w:num w:numId="8">
    <w:abstractNumId w:val="5"/>
  </w:num>
  <w:num w:numId="9">
    <w:abstractNumId w:val="9"/>
  </w:num>
  <w:num w:numId="10">
    <w:abstractNumId w:val="10"/>
  </w:num>
  <w:num w:numId="11">
    <w:abstractNumId w:val="8"/>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3318"/>
    <w:rsid w:val="0000392B"/>
    <w:rsid w:val="000062CA"/>
    <w:rsid w:val="00016097"/>
    <w:rsid w:val="00021E3F"/>
    <w:rsid w:val="0002272D"/>
    <w:rsid w:val="000228D2"/>
    <w:rsid w:val="00025C42"/>
    <w:rsid w:val="000279E1"/>
    <w:rsid w:val="00033AF7"/>
    <w:rsid w:val="00033B8E"/>
    <w:rsid w:val="00041AEB"/>
    <w:rsid w:val="00042195"/>
    <w:rsid w:val="00050434"/>
    <w:rsid w:val="0005250F"/>
    <w:rsid w:val="000528D5"/>
    <w:rsid w:val="00073502"/>
    <w:rsid w:val="00073F28"/>
    <w:rsid w:val="00075EAF"/>
    <w:rsid w:val="0008340D"/>
    <w:rsid w:val="0008500C"/>
    <w:rsid w:val="00090ECD"/>
    <w:rsid w:val="000941FE"/>
    <w:rsid w:val="000953FA"/>
    <w:rsid w:val="000A1557"/>
    <w:rsid w:val="000B4A13"/>
    <w:rsid w:val="000B5571"/>
    <w:rsid w:val="000E2DDF"/>
    <w:rsid w:val="000E3C6F"/>
    <w:rsid w:val="000E7DF5"/>
    <w:rsid w:val="000F0F5B"/>
    <w:rsid w:val="000F454F"/>
    <w:rsid w:val="000F69FB"/>
    <w:rsid w:val="00111443"/>
    <w:rsid w:val="00111972"/>
    <w:rsid w:val="0013639B"/>
    <w:rsid w:val="00143318"/>
    <w:rsid w:val="00143871"/>
    <w:rsid w:val="001533C6"/>
    <w:rsid w:val="00153500"/>
    <w:rsid w:val="001551B1"/>
    <w:rsid w:val="00155475"/>
    <w:rsid w:val="001647ED"/>
    <w:rsid w:val="001661B6"/>
    <w:rsid w:val="001751B2"/>
    <w:rsid w:val="00177019"/>
    <w:rsid w:val="00180E50"/>
    <w:rsid w:val="001A054C"/>
    <w:rsid w:val="001A057C"/>
    <w:rsid w:val="001A18C2"/>
    <w:rsid w:val="001A1956"/>
    <w:rsid w:val="001B36CE"/>
    <w:rsid w:val="001B51E9"/>
    <w:rsid w:val="001C29DD"/>
    <w:rsid w:val="001C7AA8"/>
    <w:rsid w:val="001D0188"/>
    <w:rsid w:val="001D353A"/>
    <w:rsid w:val="001E184B"/>
    <w:rsid w:val="001E5ADF"/>
    <w:rsid w:val="001E5B60"/>
    <w:rsid w:val="001E64ED"/>
    <w:rsid w:val="001E66A9"/>
    <w:rsid w:val="001E7386"/>
    <w:rsid w:val="001F544E"/>
    <w:rsid w:val="00217C85"/>
    <w:rsid w:val="0022679E"/>
    <w:rsid w:val="002279E0"/>
    <w:rsid w:val="002355FD"/>
    <w:rsid w:val="00237490"/>
    <w:rsid w:val="0025105A"/>
    <w:rsid w:val="00252F19"/>
    <w:rsid w:val="002539E9"/>
    <w:rsid w:val="00253F05"/>
    <w:rsid w:val="00260568"/>
    <w:rsid w:val="00260660"/>
    <w:rsid w:val="0027319A"/>
    <w:rsid w:val="002825CF"/>
    <w:rsid w:val="0028563C"/>
    <w:rsid w:val="00297B5C"/>
    <w:rsid w:val="002A50FF"/>
    <w:rsid w:val="002B2A2E"/>
    <w:rsid w:val="002B32B5"/>
    <w:rsid w:val="002E75FC"/>
    <w:rsid w:val="00301A51"/>
    <w:rsid w:val="00302BA3"/>
    <w:rsid w:val="0031300E"/>
    <w:rsid w:val="0031406F"/>
    <w:rsid w:val="00315ECE"/>
    <w:rsid w:val="003167B2"/>
    <w:rsid w:val="00324083"/>
    <w:rsid w:val="003245E4"/>
    <w:rsid w:val="00327F97"/>
    <w:rsid w:val="003354AF"/>
    <w:rsid w:val="0033683E"/>
    <w:rsid w:val="00342D80"/>
    <w:rsid w:val="00345CBD"/>
    <w:rsid w:val="003600A9"/>
    <w:rsid w:val="003619E5"/>
    <w:rsid w:val="00365E43"/>
    <w:rsid w:val="00371422"/>
    <w:rsid w:val="00375D06"/>
    <w:rsid w:val="00381A82"/>
    <w:rsid w:val="00383A0E"/>
    <w:rsid w:val="003845CE"/>
    <w:rsid w:val="00384C9B"/>
    <w:rsid w:val="00394CAD"/>
    <w:rsid w:val="00397640"/>
    <w:rsid w:val="003C15EF"/>
    <w:rsid w:val="003C462C"/>
    <w:rsid w:val="003D03E5"/>
    <w:rsid w:val="003D5968"/>
    <w:rsid w:val="003D704E"/>
    <w:rsid w:val="003D7B8F"/>
    <w:rsid w:val="003E0A81"/>
    <w:rsid w:val="003E1B7A"/>
    <w:rsid w:val="003E1E6A"/>
    <w:rsid w:val="003E206A"/>
    <w:rsid w:val="003F4309"/>
    <w:rsid w:val="004010BD"/>
    <w:rsid w:val="00402784"/>
    <w:rsid w:val="004104FE"/>
    <w:rsid w:val="0043335F"/>
    <w:rsid w:val="00434B7B"/>
    <w:rsid w:val="004412B9"/>
    <w:rsid w:val="00450BDF"/>
    <w:rsid w:val="00455A46"/>
    <w:rsid w:val="00455E25"/>
    <w:rsid w:val="0046666D"/>
    <w:rsid w:val="00486F20"/>
    <w:rsid w:val="00495DE6"/>
    <w:rsid w:val="004B45B1"/>
    <w:rsid w:val="004B717D"/>
    <w:rsid w:val="004B7740"/>
    <w:rsid w:val="004D08A8"/>
    <w:rsid w:val="004D54C6"/>
    <w:rsid w:val="004E1C1A"/>
    <w:rsid w:val="004E581B"/>
    <w:rsid w:val="004F3ED3"/>
    <w:rsid w:val="004F6364"/>
    <w:rsid w:val="00512262"/>
    <w:rsid w:val="00522816"/>
    <w:rsid w:val="00526A72"/>
    <w:rsid w:val="005318EC"/>
    <w:rsid w:val="00544385"/>
    <w:rsid w:val="00576D79"/>
    <w:rsid w:val="0058131E"/>
    <w:rsid w:val="00592CDC"/>
    <w:rsid w:val="005976E7"/>
    <w:rsid w:val="005A5A29"/>
    <w:rsid w:val="005B0E34"/>
    <w:rsid w:val="005B2DA7"/>
    <w:rsid w:val="005D48EB"/>
    <w:rsid w:val="005E4F99"/>
    <w:rsid w:val="005E6973"/>
    <w:rsid w:val="006023EB"/>
    <w:rsid w:val="0061232D"/>
    <w:rsid w:val="00616D17"/>
    <w:rsid w:val="006227D2"/>
    <w:rsid w:val="00626247"/>
    <w:rsid w:val="00634227"/>
    <w:rsid w:val="00643E5C"/>
    <w:rsid w:val="00653284"/>
    <w:rsid w:val="006556D0"/>
    <w:rsid w:val="0066041F"/>
    <w:rsid w:val="00662EE9"/>
    <w:rsid w:val="00690112"/>
    <w:rsid w:val="006A6A69"/>
    <w:rsid w:val="006B4870"/>
    <w:rsid w:val="006C14C7"/>
    <w:rsid w:val="006D6E83"/>
    <w:rsid w:val="006E3414"/>
    <w:rsid w:val="006E3C54"/>
    <w:rsid w:val="006E406C"/>
    <w:rsid w:val="006F66BE"/>
    <w:rsid w:val="00712C86"/>
    <w:rsid w:val="00714724"/>
    <w:rsid w:val="0072276E"/>
    <w:rsid w:val="00725907"/>
    <w:rsid w:val="0073342B"/>
    <w:rsid w:val="0074510E"/>
    <w:rsid w:val="007501F3"/>
    <w:rsid w:val="007622BA"/>
    <w:rsid w:val="0076537C"/>
    <w:rsid w:val="00770912"/>
    <w:rsid w:val="00776225"/>
    <w:rsid w:val="007771CB"/>
    <w:rsid w:val="00790CF5"/>
    <w:rsid w:val="00795393"/>
    <w:rsid w:val="00795C95"/>
    <w:rsid w:val="007B52CA"/>
    <w:rsid w:val="007C30B9"/>
    <w:rsid w:val="007C72B7"/>
    <w:rsid w:val="007D0427"/>
    <w:rsid w:val="007D1E1A"/>
    <w:rsid w:val="007D1E8D"/>
    <w:rsid w:val="007D3564"/>
    <w:rsid w:val="007D5B88"/>
    <w:rsid w:val="007E24AC"/>
    <w:rsid w:val="007E26F9"/>
    <w:rsid w:val="007E3373"/>
    <w:rsid w:val="007E4448"/>
    <w:rsid w:val="007E724E"/>
    <w:rsid w:val="007F0C40"/>
    <w:rsid w:val="007F3A36"/>
    <w:rsid w:val="007F66C2"/>
    <w:rsid w:val="007F77FE"/>
    <w:rsid w:val="00802AA8"/>
    <w:rsid w:val="008031B8"/>
    <w:rsid w:val="00805B1C"/>
    <w:rsid w:val="0080661C"/>
    <w:rsid w:val="0080721E"/>
    <w:rsid w:val="0081114A"/>
    <w:rsid w:val="00813944"/>
    <w:rsid w:val="0082150C"/>
    <w:rsid w:val="00824A5B"/>
    <w:rsid w:val="00834F58"/>
    <w:rsid w:val="00841BA9"/>
    <w:rsid w:val="00847130"/>
    <w:rsid w:val="00847B2B"/>
    <w:rsid w:val="0087033D"/>
    <w:rsid w:val="00884729"/>
    <w:rsid w:val="00891AE9"/>
    <w:rsid w:val="00897BCF"/>
    <w:rsid w:val="008A142E"/>
    <w:rsid w:val="008A259A"/>
    <w:rsid w:val="008B1AA2"/>
    <w:rsid w:val="008B635C"/>
    <w:rsid w:val="008B6D89"/>
    <w:rsid w:val="008B7921"/>
    <w:rsid w:val="008D2E8D"/>
    <w:rsid w:val="008D55EF"/>
    <w:rsid w:val="008E2E3E"/>
    <w:rsid w:val="008E7711"/>
    <w:rsid w:val="008F7E89"/>
    <w:rsid w:val="00905342"/>
    <w:rsid w:val="0091539D"/>
    <w:rsid w:val="00946E33"/>
    <w:rsid w:val="00952590"/>
    <w:rsid w:val="00957CD9"/>
    <w:rsid w:val="009607A9"/>
    <w:rsid w:val="00962E28"/>
    <w:rsid w:val="0097310B"/>
    <w:rsid w:val="00974C71"/>
    <w:rsid w:val="009905F3"/>
    <w:rsid w:val="009972CB"/>
    <w:rsid w:val="009A1DF0"/>
    <w:rsid w:val="009B0C4C"/>
    <w:rsid w:val="009B1AA8"/>
    <w:rsid w:val="009B3153"/>
    <w:rsid w:val="009B533D"/>
    <w:rsid w:val="009B6F95"/>
    <w:rsid w:val="009C449D"/>
    <w:rsid w:val="009C4FE2"/>
    <w:rsid w:val="009D54FB"/>
    <w:rsid w:val="009D7336"/>
    <w:rsid w:val="009E611C"/>
    <w:rsid w:val="009F34EC"/>
    <w:rsid w:val="009F673B"/>
    <w:rsid w:val="00A21E5F"/>
    <w:rsid w:val="00A36A47"/>
    <w:rsid w:val="00A430F4"/>
    <w:rsid w:val="00A477E1"/>
    <w:rsid w:val="00A51BCF"/>
    <w:rsid w:val="00A52268"/>
    <w:rsid w:val="00A53C55"/>
    <w:rsid w:val="00A65377"/>
    <w:rsid w:val="00A84AC2"/>
    <w:rsid w:val="00A962BE"/>
    <w:rsid w:val="00A96DEF"/>
    <w:rsid w:val="00AA07BE"/>
    <w:rsid w:val="00AA4CDD"/>
    <w:rsid w:val="00AB4E66"/>
    <w:rsid w:val="00AC508A"/>
    <w:rsid w:val="00AC67F6"/>
    <w:rsid w:val="00AD143A"/>
    <w:rsid w:val="00AE0A36"/>
    <w:rsid w:val="00AE296E"/>
    <w:rsid w:val="00AF0810"/>
    <w:rsid w:val="00AF21DD"/>
    <w:rsid w:val="00B0475D"/>
    <w:rsid w:val="00B1043D"/>
    <w:rsid w:val="00B17C4B"/>
    <w:rsid w:val="00B272E0"/>
    <w:rsid w:val="00B37EB7"/>
    <w:rsid w:val="00B417B9"/>
    <w:rsid w:val="00B44133"/>
    <w:rsid w:val="00B518B6"/>
    <w:rsid w:val="00B54712"/>
    <w:rsid w:val="00B551DD"/>
    <w:rsid w:val="00B57DCC"/>
    <w:rsid w:val="00B7624D"/>
    <w:rsid w:val="00B76942"/>
    <w:rsid w:val="00B7786A"/>
    <w:rsid w:val="00B81825"/>
    <w:rsid w:val="00B84F31"/>
    <w:rsid w:val="00B940F4"/>
    <w:rsid w:val="00BA3160"/>
    <w:rsid w:val="00BB096D"/>
    <w:rsid w:val="00BC43A6"/>
    <w:rsid w:val="00BD32CA"/>
    <w:rsid w:val="00BD5F6A"/>
    <w:rsid w:val="00BD63E9"/>
    <w:rsid w:val="00BD7022"/>
    <w:rsid w:val="00BE7AF9"/>
    <w:rsid w:val="00C13077"/>
    <w:rsid w:val="00C1471E"/>
    <w:rsid w:val="00C1691D"/>
    <w:rsid w:val="00C23424"/>
    <w:rsid w:val="00C2471E"/>
    <w:rsid w:val="00C25D42"/>
    <w:rsid w:val="00C30301"/>
    <w:rsid w:val="00C33536"/>
    <w:rsid w:val="00C34925"/>
    <w:rsid w:val="00C45D68"/>
    <w:rsid w:val="00C65194"/>
    <w:rsid w:val="00C66A9B"/>
    <w:rsid w:val="00C803F3"/>
    <w:rsid w:val="00C8294D"/>
    <w:rsid w:val="00C92EBC"/>
    <w:rsid w:val="00C95837"/>
    <w:rsid w:val="00CA5C98"/>
    <w:rsid w:val="00CA6CC1"/>
    <w:rsid w:val="00CB7C2B"/>
    <w:rsid w:val="00CC2020"/>
    <w:rsid w:val="00CC58E8"/>
    <w:rsid w:val="00CC6E3C"/>
    <w:rsid w:val="00CD02A8"/>
    <w:rsid w:val="00CD0B60"/>
    <w:rsid w:val="00CE6DDE"/>
    <w:rsid w:val="00D028C5"/>
    <w:rsid w:val="00D06492"/>
    <w:rsid w:val="00D13761"/>
    <w:rsid w:val="00D210DF"/>
    <w:rsid w:val="00D27A7A"/>
    <w:rsid w:val="00D41D12"/>
    <w:rsid w:val="00D42941"/>
    <w:rsid w:val="00D4333C"/>
    <w:rsid w:val="00D45B4D"/>
    <w:rsid w:val="00D53711"/>
    <w:rsid w:val="00D570D1"/>
    <w:rsid w:val="00D572CD"/>
    <w:rsid w:val="00D61212"/>
    <w:rsid w:val="00D61DFC"/>
    <w:rsid w:val="00D622F3"/>
    <w:rsid w:val="00D71A7F"/>
    <w:rsid w:val="00D71F34"/>
    <w:rsid w:val="00D921BE"/>
    <w:rsid w:val="00DA1D01"/>
    <w:rsid w:val="00DA2BB1"/>
    <w:rsid w:val="00DA7394"/>
    <w:rsid w:val="00DB1310"/>
    <w:rsid w:val="00DB6B1A"/>
    <w:rsid w:val="00DC3037"/>
    <w:rsid w:val="00DD3A81"/>
    <w:rsid w:val="00DF1451"/>
    <w:rsid w:val="00DF3243"/>
    <w:rsid w:val="00DF36EA"/>
    <w:rsid w:val="00E03FFA"/>
    <w:rsid w:val="00E126AE"/>
    <w:rsid w:val="00E1290A"/>
    <w:rsid w:val="00E1526E"/>
    <w:rsid w:val="00E270B3"/>
    <w:rsid w:val="00E40557"/>
    <w:rsid w:val="00E42FCC"/>
    <w:rsid w:val="00E44867"/>
    <w:rsid w:val="00E64CBC"/>
    <w:rsid w:val="00E71A97"/>
    <w:rsid w:val="00E73CE2"/>
    <w:rsid w:val="00E91842"/>
    <w:rsid w:val="00E93306"/>
    <w:rsid w:val="00E96593"/>
    <w:rsid w:val="00EA6C74"/>
    <w:rsid w:val="00EC5032"/>
    <w:rsid w:val="00EC6F40"/>
    <w:rsid w:val="00EC7D6A"/>
    <w:rsid w:val="00ED0E85"/>
    <w:rsid w:val="00ED1D57"/>
    <w:rsid w:val="00ED2853"/>
    <w:rsid w:val="00EF01DB"/>
    <w:rsid w:val="00EF515A"/>
    <w:rsid w:val="00F1124F"/>
    <w:rsid w:val="00F150F6"/>
    <w:rsid w:val="00F2109F"/>
    <w:rsid w:val="00F2709A"/>
    <w:rsid w:val="00F2761A"/>
    <w:rsid w:val="00F33C6F"/>
    <w:rsid w:val="00F34AC8"/>
    <w:rsid w:val="00F46AD5"/>
    <w:rsid w:val="00F51374"/>
    <w:rsid w:val="00F515E4"/>
    <w:rsid w:val="00F654A3"/>
    <w:rsid w:val="00F77BED"/>
    <w:rsid w:val="00F9547D"/>
    <w:rsid w:val="00FB6FD7"/>
    <w:rsid w:val="00FC05D5"/>
    <w:rsid w:val="00FD21DD"/>
    <w:rsid w:val="00FD6490"/>
    <w:rsid w:val="00FE2CE2"/>
    <w:rsid w:val="00FE5F60"/>
    <w:rsid w:val="00FE733A"/>
    <w:rsid w:val="00FF1429"/>
    <w:rsid w:val="00FF31BF"/>
    <w:rsid w:val="00FF540F"/>
    <w:rsid w:val="00FF6DE1"/>
    <w:rsid w:val="0E9F3E10"/>
    <w:rsid w:val="532B7529"/>
    <w:rsid w:val="59A07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AA698"/>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027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9E1"/>
    <w:rPr>
      <w:rFonts w:ascii="Segoe UI" w:eastAsiaTheme="minorHAnsi" w:hAnsi="Segoe UI" w:cs="Segoe UI"/>
      <w:sz w:val="18"/>
      <w:szCs w:val="18"/>
      <w:lang w:eastAsia="en-US"/>
    </w:rPr>
  </w:style>
  <w:style w:type="paragraph" w:styleId="NormalWeb">
    <w:name w:val="Normal (Web)"/>
    <w:basedOn w:val="Normal"/>
    <w:uiPriority w:val="99"/>
    <w:unhideWhenUsed/>
    <w:rsid w:val="00A65377"/>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0660"/>
    <w:rPr>
      <w:rFonts w:ascii="Times New Roman" w:hAnsi="Times New Roman" w:cs="Times New Roman" w:hint="default"/>
      <w:color w:val="000000"/>
      <w:u w:val="single"/>
    </w:rPr>
  </w:style>
  <w:style w:type="character" w:styleId="CommentReference">
    <w:name w:val="annotation reference"/>
    <w:basedOn w:val="DefaultParagraphFont"/>
    <w:uiPriority w:val="99"/>
    <w:semiHidden/>
    <w:unhideWhenUsed/>
    <w:rsid w:val="007E3373"/>
    <w:rPr>
      <w:sz w:val="16"/>
      <w:szCs w:val="16"/>
    </w:rPr>
  </w:style>
  <w:style w:type="paragraph" w:styleId="CommentText">
    <w:name w:val="annotation text"/>
    <w:basedOn w:val="Normal"/>
    <w:link w:val="CommentTextChar"/>
    <w:uiPriority w:val="99"/>
    <w:semiHidden/>
    <w:unhideWhenUsed/>
    <w:rsid w:val="007E3373"/>
    <w:pPr>
      <w:spacing w:line="240" w:lineRule="auto"/>
    </w:pPr>
    <w:rPr>
      <w:sz w:val="20"/>
      <w:szCs w:val="20"/>
    </w:rPr>
  </w:style>
  <w:style w:type="character" w:customStyle="1" w:styleId="CommentTextChar">
    <w:name w:val="Comment Text Char"/>
    <w:basedOn w:val="DefaultParagraphFont"/>
    <w:link w:val="CommentText"/>
    <w:uiPriority w:val="99"/>
    <w:semiHidden/>
    <w:rsid w:val="007E3373"/>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E3373"/>
    <w:rPr>
      <w:b/>
      <w:bCs/>
    </w:rPr>
  </w:style>
  <w:style w:type="character" w:customStyle="1" w:styleId="CommentSubjectChar">
    <w:name w:val="Comment Subject Char"/>
    <w:basedOn w:val="CommentTextChar"/>
    <w:link w:val="CommentSubject"/>
    <w:uiPriority w:val="99"/>
    <w:semiHidden/>
    <w:rsid w:val="007E3373"/>
    <w:rPr>
      <w:rFonts w:ascii="Arial" w:eastAsiaTheme="minorHAnsi" w:hAnsi="Arial"/>
      <w:b/>
      <w:bCs/>
      <w:sz w:val="20"/>
      <w:szCs w:val="20"/>
      <w:lang w:eastAsia="en-US"/>
    </w:rPr>
  </w:style>
  <w:style w:type="character" w:styleId="FollowedHyperlink">
    <w:name w:val="FollowedHyperlink"/>
    <w:basedOn w:val="DefaultParagraphFont"/>
    <w:uiPriority w:val="99"/>
    <w:semiHidden/>
    <w:unhideWhenUsed/>
    <w:rsid w:val="00F34AC8"/>
    <w:rPr>
      <w:color w:val="954F72" w:themeColor="followedHyperlink"/>
      <w:u w:val="single"/>
    </w:rPr>
  </w:style>
  <w:style w:type="character" w:styleId="UnresolvedMention">
    <w:name w:val="Unresolved Mention"/>
    <w:basedOn w:val="DefaultParagraphFont"/>
    <w:uiPriority w:val="99"/>
    <w:semiHidden/>
    <w:unhideWhenUsed/>
    <w:rsid w:val="00F34AC8"/>
    <w:rPr>
      <w:color w:val="605E5C"/>
      <w:shd w:val="clear" w:color="auto" w:fill="E1DFDD"/>
    </w:rPr>
  </w:style>
  <w:style w:type="character" w:customStyle="1" w:styleId="apple-tab-span">
    <w:name w:val="apple-tab-span"/>
    <w:basedOn w:val="DefaultParagraphFont"/>
    <w:rsid w:val="004B717D"/>
  </w:style>
  <w:style w:type="character" w:customStyle="1" w:styleId="normaltextrun">
    <w:name w:val="normaltextrun"/>
    <w:basedOn w:val="DefaultParagraphFont"/>
    <w:rsid w:val="00DF36EA"/>
  </w:style>
  <w:style w:type="character" w:customStyle="1" w:styleId="advancedproofingissue">
    <w:name w:val="advancedproofingissue"/>
    <w:basedOn w:val="DefaultParagraphFont"/>
    <w:rsid w:val="00BB096D"/>
  </w:style>
  <w:style w:type="character" w:customStyle="1" w:styleId="contextualspellingandgrammarerror">
    <w:name w:val="contextualspellingandgrammarerror"/>
    <w:basedOn w:val="DefaultParagraphFont"/>
    <w:rsid w:val="00BB096D"/>
  </w:style>
  <w:style w:type="character" w:customStyle="1" w:styleId="eop">
    <w:name w:val="eop"/>
    <w:basedOn w:val="DefaultParagraphFont"/>
    <w:rsid w:val="00BB096D"/>
  </w:style>
  <w:style w:type="paragraph" w:customStyle="1" w:styleId="paragraph">
    <w:name w:val="paragraph"/>
    <w:basedOn w:val="Normal"/>
    <w:rsid w:val="00252F1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customStyle="1" w:styleId="Address">
    <w:name w:val="Address"/>
    <w:basedOn w:val="Normal"/>
    <w:rsid w:val="00FD21DD"/>
    <w:pPr>
      <w:widowControl w:val="0"/>
      <w:spacing w:after="0" w:line="220" w:lineRule="exact"/>
      <w:ind w:left="0" w:firstLine="0"/>
    </w:pPr>
    <w:rPr>
      <w:rFonts w:ascii="Frutiger 45 Light" w:eastAsia="Times New Roman" w:hAnsi="Frutiger 45 Light"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147">
      <w:bodyDiv w:val="1"/>
      <w:marLeft w:val="0"/>
      <w:marRight w:val="0"/>
      <w:marTop w:val="0"/>
      <w:marBottom w:val="0"/>
      <w:divBdr>
        <w:top w:val="none" w:sz="0" w:space="0" w:color="auto"/>
        <w:left w:val="none" w:sz="0" w:space="0" w:color="auto"/>
        <w:bottom w:val="none" w:sz="0" w:space="0" w:color="auto"/>
        <w:right w:val="none" w:sz="0" w:space="0" w:color="auto"/>
      </w:divBdr>
    </w:div>
    <w:div w:id="91170919">
      <w:bodyDiv w:val="1"/>
      <w:marLeft w:val="0"/>
      <w:marRight w:val="0"/>
      <w:marTop w:val="0"/>
      <w:marBottom w:val="0"/>
      <w:divBdr>
        <w:top w:val="none" w:sz="0" w:space="0" w:color="auto"/>
        <w:left w:val="none" w:sz="0" w:space="0" w:color="auto"/>
        <w:bottom w:val="none" w:sz="0" w:space="0" w:color="auto"/>
        <w:right w:val="none" w:sz="0" w:space="0" w:color="auto"/>
      </w:divBdr>
    </w:div>
    <w:div w:id="91702461">
      <w:bodyDiv w:val="1"/>
      <w:marLeft w:val="0"/>
      <w:marRight w:val="0"/>
      <w:marTop w:val="0"/>
      <w:marBottom w:val="0"/>
      <w:divBdr>
        <w:top w:val="none" w:sz="0" w:space="0" w:color="auto"/>
        <w:left w:val="none" w:sz="0" w:space="0" w:color="auto"/>
        <w:bottom w:val="none" w:sz="0" w:space="0" w:color="auto"/>
        <w:right w:val="none" w:sz="0" w:space="0" w:color="auto"/>
      </w:divBdr>
    </w:div>
    <w:div w:id="122580465">
      <w:bodyDiv w:val="1"/>
      <w:marLeft w:val="0"/>
      <w:marRight w:val="0"/>
      <w:marTop w:val="0"/>
      <w:marBottom w:val="0"/>
      <w:divBdr>
        <w:top w:val="none" w:sz="0" w:space="0" w:color="auto"/>
        <w:left w:val="none" w:sz="0" w:space="0" w:color="auto"/>
        <w:bottom w:val="none" w:sz="0" w:space="0" w:color="auto"/>
        <w:right w:val="none" w:sz="0" w:space="0" w:color="auto"/>
      </w:divBdr>
    </w:div>
    <w:div w:id="139657272">
      <w:bodyDiv w:val="1"/>
      <w:marLeft w:val="0"/>
      <w:marRight w:val="0"/>
      <w:marTop w:val="0"/>
      <w:marBottom w:val="0"/>
      <w:divBdr>
        <w:top w:val="none" w:sz="0" w:space="0" w:color="auto"/>
        <w:left w:val="none" w:sz="0" w:space="0" w:color="auto"/>
        <w:bottom w:val="none" w:sz="0" w:space="0" w:color="auto"/>
        <w:right w:val="none" w:sz="0" w:space="0" w:color="auto"/>
      </w:divBdr>
    </w:div>
    <w:div w:id="255283404">
      <w:bodyDiv w:val="1"/>
      <w:marLeft w:val="0"/>
      <w:marRight w:val="0"/>
      <w:marTop w:val="0"/>
      <w:marBottom w:val="0"/>
      <w:divBdr>
        <w:top w:val="none" w:sz="0" w:space="0" w:color="auto"/>
        <w:left w:val="none" w:sz="0" w:space="0" w:color="auto"/>
        <w:bottom w:val="none" w:sz="0" w:space="0" w:color="auto"/>
        <w:right w:val="none" w:sz="0" w:space="0" w:color="auto"/>
      </w:divBdr>
    </w:div>
    <w:div w:id="439489646">
      <w:bodyDiv w:val="1"/>
      <w:marLeft w:val="0"/>
      <w:marRight w:val="0"/>
      <w:marTop w:val="0"/>
      <w:marBottom w:val="0"/>
      <w:divBdr>
        <w:top w:val="none" w:sz="0" w:space="0" w:color="auto"/>
        <w:left w:val="none" w:sz="0" w:space="0" w:color="auto"/>
        <w:bottom w:val="none" w:sz="0" w:space="0" w:color="auto"/>
        <w:right w:val="none" w:sz="0" w:space="0" w:color="auto"/>
      </w:divBdr>
    </w:div>
    <w:div w:id="444156044">
      <w:bodyDiv w:val="1"/>
      <w:marLeft w:val="0"/>
      <w:marRight w:val="0"/>
      <w:marTop w:val="0"/>
      <w:marBottom w:val="0"/>
      <w:divBdr>
        <w:top w:val="none" w:sz="0" w:space="0" w:color="auto"/>
        <w:left w:val="none" w:sz="0" w:space="0" w:color="auto"/>
        <w:bottom w:val="none" w:sz="0" w:space="0" w:color="auto"/>
        <w:right w:val="none" w:sz="0" w:space="0" w:color="auto"/>
      </w:divBdr>
    </w:div>
    <w:div w:id="582766363">
      <w:bodyDiv w:val="1"/>
      <w:marLeft w:val="0"/>
      <w:marRight w:val="0"/>
      <w:marTop w:val="0"/>
      <w:marBottom w:val="0"/>
      <w:divBdr>
        <w:top w:val="none" w:sz="0" w:space="0" w:color="auto"/>
        <w:left w:val="none" w:sz="0" w:space="0" w:color="auto"/>
        <w:bottom w:val="none" w:sz="0" w:space="0" w:color="auto"/>
        <w:right w:val="none" w:sz="0" w:space="0" w:color="auto"/>
      </w:divBdr>
    </w:div>
    <w:div w:id="705717637">
      <w:bodyDiv w:val="1"/>
      <w:marLeft w:val="0"/>
      <w:marRight w:val="0"/>
      <w:marTop w:val="0"/>
      <w:marBottom w:val="0"/>
      <w:divBdr>
        <w:top w:val="none" w:sz="0" w:space="0" w:color="auto"/>
        <w:left w:val="none" w:sz="0" w:space="0" w:color="auto"/>
        <w:bottom w:val="none" w:sz="0" w:space="0" w:color="auto"/>
        <w:right w:val="none" w:sz="0" w:space="0" w:color="auto"/>
      </w:divBdr>
    </w:div>
    <w:div w:id="719018601">
      <w:bodyDiv w:val="1"/>
      <w:marLeft w:val="0"/>
      <w:marRight w:val="0"/>
      <w:marTop w:val="0"/>
      <w:marBottom w:val="0"/>
      <w:divBdr>
        <w:top w:val="none" w:sz="0" w:space="0" w:color="auto"/>
        <w:left w:val="none" w:sz="0" w:space="0" w:color="auto"/>
        <w:bottom w:val="none" w:sz="0" w:space="0" w:color="auto"/>
        <w:right w:val="none" w:sz="0" w:space="0" w:color="auto"/>
      </w:divBdr>
    </w:div>
    <w:div w:id="873931313">
      <w:bodyDiv w:val="1"/>
      <w:marLeft w:val="0"/>
      <w:marRight w:val="0"/>
      <w:marTop w:val="0"/>
      <w:marBottom w:val="0"/>
      <w:divBdr>
        <w:top w:val="none" w:sz="0" w:space="0" w:color="auto"/>
        <w:left w:val="none" w:sz="0" w:space="0" w:color="auto"/>
        <w:bottom w:val="none" w:sz="0" w:space="0" w:color="auto"/>
        <w:right w:val="none" w:sz="0" w:space="0" w:color="auto"/>
      </w:divBdr>
    </w:div>
    <w:div w:id="904677989">
      <w:bodyDiv w:val="1"/>
      <w:marLeft w:val="0"/>
      <w:marRight w:val="0"/>
      <w:marTop w:val="0"/>
      <w:marBottom w:val="0"/>
      <w:divBdr>
        <w:top w:val="none" w:sz="0" w:space="0" w:color="auto"/>
        <w:left w:val="none" w:sz="0" w:space="0" w:color="auto"/>
        <w:bottom w:val="none" w:sz="0" w:space="0" w:color="auto"/>
        <w:right w:val="none" w:sz="0" w:space="0" w:color="auto"/>
      </w:divBdr>
    </w:div>
    <w:div w:id="993950645">
      <w:bodyDiv w:val="1"/>
      <w:marLeft w:val="0"/>
      <w:marRight w:val="0"/>
      <w:marTop w:val="0"/>
      <w:marBottom w:val="0"/>
      <w:divBdr>
        <w:top w:val="none" w:sz="0" w:space="0" w:color="auto"/>
        <w:left w:val="none" w:sz="0" w:space="0" w:color="auto"/>
        <w:bottom w:val="none" w:sz="0" w:space="0" w:color="auto"/>
        <w:right w:val="none" w:sz="0" w:space="0" w:color="auto"/>
      </w:divBdr>
    </w:div>
    <w:div w:id="1068773226">
      <w:bodyDiv w:val="1"/>
      <w:marLeft w:val="0"/>
      <w:marRight w:val="0"/>
      <w:marTop w:val="0"/>
      <w:marBottom w:val="0"/>
      <w:divBdr>
        <w:top w:val="none" w:sz="0" w:space="0" w:color="auto"/>
        <w:left w:val="none" w:sz="0" w:space="0" w:color="auto"/>
        <w:bottom w:val="none" w:sz="0" w:space="0" w:color="auto"/>
        <w:right w:val="none" w:sz="0" w:space="0" w:color="auto"/>
      </w:divBdr>
    </w:div>
    <w:div w:id="1146895440">
      <w:bodyDiv w:val="1"/>
      <w:marLeft w:val="0"/>
      <w:marRight w:val="0"/>
      <w:marTop w:val="0"/>
      <w:marBottom w:val="0"/>
      <w:divBdr>
        <w:top w:val="none" w:sz="0" w:space="0" w:color="auto"/>
        <w:left w:val="none" w:sz="0" w:space="0" w:color="auto"/>
        <w:bottom w:val="none" w:sz="0" w:space="0" w:color="auto"/>
        <w:right w:val="none" w:sz="0" w:space="0" w:color="auto"/>
      </w:divBdr>
      <w:divsChild>
        <w:div w:id="704134130">
          <w:marLeft w:val="0"/>
          <w:marRight w:val="0"/>
          <w:marTop w:val="0"/>
          <w:marBottom w:val="0"/>
          <w:divBdr>
            <w:top w:val="none" w:sz="0" w:space="0" w:color="auto"/>
            <w:left w:val="none" w:sz="0" w:space="0" w:color="auto"/>
            <w:bottom w:val="none" w:sz="0" w:space="0" w:color="auto"/>
            <w:right w:val="none" w:sz="0" w:space="0" w:color="auto"/>
          </w:divBdr>
          <w:divsChild>
            <w:div w:id="1586300262">
              <w:marLeft w:val="0"/>
              <w:marRight w:val="0"/>
              <w:marTop w:val="0"/>
              <w:marBottom w:val="0"/>
              <w:divBdr>
                <w:top w:val="none" w:sz="0" w:space="0" w:color="auto"/>
                <w:left w:val="none" w:sz="0" w:space="0" w:color="auto"/>
                <w:bottom w:val="none" w:sz="0" w:space="0" w:color="auto"/>
                <w:right w:val="none" w:sz="0" w:space="0" w:color="auto"/>
              </w:divBdr>
              <w:divsChild>
                <w:div w:id="1983541008">
                  <w:marLeft w:val="0"/>
                  <w:marRight w:val="0"/>
                  <w:marTop w:val="0"/>
                  <w:marBottom w:val="0"/>
                  <w:divBdr>
                    <w:top w:val="none" w:sz="0" w:space="0" w:color="auto"/>
                    <w:left w:val="none" w:sz="0" w:space="0" w:color="auto"/>
                    <w:bottom w:val="none" w:sz="0" w:space="0" w:color="auto"/>
                    <w:right w:val="none" w:sz="0" w:space="0" w:color="auto"/>
                  </w:divBdr>
                  <w:divsChild>
                    <w:div w:id="7518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79806860">
      <w:bodyDiv w:val="1"/>
      <w:marLeft w:val="0"/>
      <w:marRight w:val="0"/>
      <w:marTop w:val="0"/>
      <w:marBottom w:val="0"/>
      <w:divBdr>
        <w:top w:val="none" w:sz="0" w:space="0" w:color="auto"/>
        <w:left w:val="none" w:sz="0" w:space="0" w:color="auto"/>
        <w:bottom w:val="none" w:sz="0" w:space="0" w:color="auto"/>
        <w:right w:val="none" w:sz="0" w:space="0" w:color="auto"/>
      </w:divBdr>
    </w:div>
    <w:div w:id="1187404729">
      <w:bodyDiv w:val="1"/>
      <w:marLeft w:val="0"/>
      <w:marRight w:val="0"/>
      <w:marTop w:val="0"/>
      <w:marBottom w:val="0"/>
      <w:divBdr>
        <w:top w:val="none" w:sz="0" w:space="0" w:color="auto"/>
        <w:left w:val="none" w:sz="0" w:space="0" w:color="auto"/>
        <w:bottom w:val="none" w:sz="0" w:space="0" w:color="auto"/>
        <w:right w:val="none" w:sz="0" w:space="0" w:color="auto"/>
      </w:divBdr>
    </w:div>
    <w:div w:id="1221213176">
      <w:bodyDiv w:val="1"/>
      <w:marLeft w:val="0"/>
      <w:marRight w:val="0"/>
      <w:marTop w:val="0"/>
      <w:marBottom w:val="0"/>
      <w:divBdr>
        <w:top w:val="none" w:sz="0" w:space="0" w:color="auto"/>
        <w:left w:val="none" w:sz="0" w:space="0" w:color="auto"/>
        <w:bottom w:val="none" w:sz="0" w:space="0" w:color="auto"/>
        <w:right w:val="none" w:sz="0" w:space="0" w:color="auto"/>
      </w:divBdr>
      <w:divsChild>
        <w:div w:id="1366754913">
          <w:marLeft w:val="0"/>
          <w:marRight w:val="0"/>
          <w:marTop w:val="0"/>
          <w:marBottom w:val="0"/>
          <w:divBdr>
            <w:top w:val="none" w:sz="0" w:space="0" w:color="auto"/>
            <w:left w:val="none" w:sz="0" w:space="0" w:color="auto"/>
            <w:bottom w:val="none" w:sz="0" w:space="0" w:color="auto"/>
            <w:right w:val="none" w:sz="0" w:space="0" w:color="auto"/>
          </w:divBdr>
          <w:divsChild>
            <w:div w:id="1899591040">
              <w:marLeft w:val="0"/>
              <w:marRight w:val="0"/>
              <w:marTop w:val="0"/>
              <w:marBottom w:val="0"/>
              <w:divBdr>
                <w:top w:val="none" w:sz="0" w:space="0" w:color="auto"/>
                <w:left w:val="none" w:sz="0" w:space="0" w:color="auto"/>
                <w:bottom w:val="none" w:sz="0" w:space="0" w:color="auto"/>
                <w:right w:val="none" w:sz="0" w:space="0" w:color="auto"/>
              </w:divBdr>
              <w:divsChild>
                <w:div w:id="2035501578">
                  <w:marLeft w:val="0"/>
                  <w:marRight w:val="0"/>
                  <w:marTop w:val="0"/>
                  <w:marBottom w:val="0"/>
                  <w:divBdr>
                    <w:top w:val="none" w:sz="0" w:space="0" w:color="auto"/>
                    <w:left w:val="none" w:sz="0" w:space="0" w:color="auto"/>
                    <w:bottom w:val="none" w:sz="0" w:space="0" w:color="auto"/>
                    <w:right w:val="none" w:sz="0" w:space="0" w:color="auto"/>
                  </w:divBdr>
                  <w:divsChild>
                    <w:div w:id="5440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1486">
      <w:bodyDiv w:val="1"/>
      <w:marLeft w:val="0"/>
      <w:marRight w:val="0"/>
      <w:marTop w:val="0"/>
      <w:marBottom w:val="0"/>
      <w:divBdr>
        <w:top w:val="none" w:sz="0" w:space="0" w:color="auto"/>
        <w:left w:val="none" w:sz="0" w:space="0" w:color="auto"/>
        <w:bottom w:val="none" w:sz="0" w:space="0" w:color="auto"/>
        <w:right w:val="none" w:sz="0" w:space="0" w:color="auto"/>
      </w:divBdr>
    </w:div>
    <w:div w:id="1290546514">
      <w:bodyDiv w:val="1"/>
      <w:marLeft w:val="0"/>
      <w:marRight w:val="0"/>
      <w:marTop w:val="0"/>
      <w:marBottom w:val="0"/>
      <w:divBdr>
        <w:top w:val="none" w:sz="0" w:space="0" w:color="auto"/>
        <w:left w:val="none" w:sz="0" w:space="0" w:color="auto"/>
        <w:bottom w:val="none" w:sz="0" w:space="0" w:color="auto"/>
        <w:right w:val="none" w:sz="0" w:space="0" w:color="auto"/>
      </w:divBdr>
      <w:divsChild>
        <w:div w:id="1321546727">
          <w:marLeft w:val="0"/>
          <w:marRight w:val="0"/>
          <w:marTop w:val="0"/>
          <w:marBottom w:val="0"/>
          <w:divBdr>
            <w:top w:val="none" w:sz="0" w:space="0" w:color="auto"/>
            <w:left w:val="none" w:sz="0" w:space="0" w:color="auto"/>
            <w:bottom w:val="none" w:sz="0" w:space="0" w:color="auto"/>
            <w:right w:val="none" w:sz="0" w:space="0" w:color="auto"/>
          </w:divBdr>
          <w:divsChild>
            <w:div w:id="770515615">
              <w:marLeft w:val="0"/>
              <w:marRight w:val="0"/>
              <w:marTop w:val="0"/>
              <w:marBottom w:val="0"/>
              <w:divBdr>
                <w:top w:val="none" w:sz="0" w:space="0" w:color="auto"/>
                <w:left w:val="none" w:sz="0" w:space="0" w:color="auto"/>
                <w:bottom w:val="none" w:sz="0" w:space="0" w:color="auto"/>
                <w:right w:val="none" w:sz="0" w:space="0" w:color="auto"/>
              </w:divBdr>
              <w:divsChild>
                <w:div w:id="599726420">
                  <w:marLeft w:val="0"/>
                  <w:marRight w:val="0"/>
                  <w:marTop w:val="0"/>
                  <w:marBottom w:val="0"/>
                  <w:divBdr>
                    <w:top w:val="none" w:sz="0" w:space="0" w:color="auto"/>
                    <w:left w:val="none" w:sz="0" w:space="0" w:color="auto"/>
                    <w:bottom w:val="none" w:sz="0" w:space="0" w:color="auto"/>
                    <w:right w:val="none" w:sz="0" w:space="0" w:color="auto"/>
                  </w:divBdr>
                  <w:divsChild>
                    <w:div w:id="11131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0786">
      <w:bodyDiv w:val="1"/>
      <w:marLeft w:val="0"/>
      <w:marRight w:val="0"/>
      <w:marTop w:val="0"/>
      <w:marBottom w:val="0"/>
      <w:divBdr>
        <w:top w:val="none" w:sz="0" w:space="0" w:color="auto"/>
        <w:left w:val="none" w:sz="0" w:space="0" w:color="auto"/>
        <w:bottom w:val="none" w:sz="0" w:space="0" w:color="auto"/>
        <w:right w:val="none" w:sz="0" w:space="0" w:color="auto"/>
      </w:divBdr>
    </w:div>
    <w:div w:id="1430198256">
      <w:bodyDiv w:val="1"/>
      <w:marLeft w:val="0"/>
      <w:marRight w:val="0"/>
      <w:marTop w:val="0"/>
      <w:marBottom w:val="0"/>
      <w:divBdr>
        <w:top w:val="none" w:sz="0" w:space="0" w:color="auto"/>
        <w:left w:val="none" w:sz="0" w:space="0" w:color="auto"/>
        <w:bottom w:val="none" w:sz="0" w:space="0" w:color="auto"/>
        <w:right w:val="none" w:sz="0" w:space="0" w:color="auto"/>
      </w:divBdr>
    </w:div>
    <w:div w:id="1500925489">
      <w:bodyDiv w:val="1"/>
      <w:marLeft w:val="0"/>
      <w:marRight w:val="0"/>
      <w:marTop w:val="0"/>
      <w:marBottom w:val="0"/>
      <w:divBdr>
        <w:top w:val="none" w:sz="0" w:space="0" w:color="auto"/>
        <w:left w:val="none" w:sz="0" w:space="0" w:color="auto"/>
        <w:bottom w:val="none" w:sz="0" w:space="0" w:color="auto"/>
        <w:right w:val="none" w:sz="0" w:space="0" w:color="auto"/>
      </w:divBdr>
    </w:div>
    <w:div w:id="1528523381">
      <w:bodyDiv w:val="1"/>
      <w:marLeft w:val="0"/>
      <w:marRight w:val="0"/>
      <w:marTop w:val="0"/>
      <w:marBottom w:val="0"/>
      <w:divBdr>
        <w:top w:val="none" w:sz="0" w:space="0" w:color="auto"/>
        <w:left w:val="none" w:sz="0" w:space="0" w:color="auto"/>
        <w:bottom w:val="none" w:sz="0" w:space="0" w:color="auto"/>
        <w:right w:val="none" w:sz="0" w:space="0" w:color="auto"/>
      </w:divBdr>
    </w:div>
    <w:div w:id="1614050561">
      <w:bodyDiv w:val="1"/>
      <w:marLeft w:val="0"/>
      <w:marRight w:val="0"/>
      <w:marTop w:val="0"/>
      <w:marBottom w:val="0"/>
      <w:divBdr>
        <w:top w:val="none" w:sz="0" w:space="0" w:color="auto"/>
        <w:left w:val="none" w:sz="0" w:space="0" w:color="auto"/>
        <w:bottom w:val="none" w:sz="0" w:space="0" w:color="auto"/>
        <w:right w:val="none" w:sz="0" w:space="0" w:color="auto"/>
      </w:divBdr>
    </w:div>
    <w:div w:id="1665428341">
      <w:bodyDiv w:val="1"/>
      <w:marLeft w:val="0"/>
      <w:marRight w:val="0"/>
      <w:marTop w:val="0"/>
      <w:marBottom w:val="0"/>
      <w:divBdr>
        <w:top w:val="none" w:sz="0" w:space="0" w:color="auto"/>
        <w:left w:val="none" w:sz="0" w:space="0" w:color="auto"/>
        <w:bottom w:val="none" w:sz="0" w:space="0" w:color="auto"/>
        <w:right w:val="none" w:sz="0" w:space="0" w:color="auto"/>
      </w:divBdr>
    </w:div>
    <w:div w:id="1737238171">
      <w:bodyDiv w:val="1"/>
      <w:marLeft w:val="0"/>
      <w:marRight w:val="0"/>
      <w:marTop w:val="0"/>
      <w:marBottom w:val="0"/>
      <w:divBdr>
        <w:top w:val="none" w:sz="0" w:space="0" w:color="auto"/>
        <w:left w:val="none" w:sz="0" w:space="0" w:color="auto"/>
        <w:bottom w:val="none" w:sz="0" w:space="0" w:color="auto"/>
        <w:right w:val="none" w:sz="0" w:space="0" w:color="auto"/>
      </w:divBdr>
    </w:div>
    <w:div w:id="1756585440">
      <w:bodyDiv w:val="1"/>
      <w:marLeft w:val="0"/>
      <w:marRight w:val="0"/>
      <w:marTop w:val="0"/>
      <w:marBottom w:val="0"/>
      <w:divBdr>
        <w:top w:val="none" w:sz="0" w:space="0" w:color="auto"/>
        <w:left w:val="none" w:sz="0" w:space="0" w:color="auto"/>
        <w:bottom w:val="none" w:sz="0" w:space="0" w:color="auto"/>
        <w:right w:val="none" w:sz="0" w:space="0" w:color="auto"/>
      </w:divBdr>
    </w:div>
    <w:div w:id="1903254159">
      <w:bodyDiv w:val="1"/>
      <w:marLeft w:val="0"/>
      <w:marRight w:val="0"/>
      <w:marTop w:val="0"/>
      <w:marBottom w:val="0"/>
      <w:divBdr>
        <w:top w:val="none" w:sz="0" w:space="0" w:color="auto"/>
        <w:left w:val="none" w:sz="0" w:space="0" w:color="auto"/>
        <w:bottom w:val="none" w:sz="0" w:space="0" w:color="auto"/>
        <w:right w:val="none" w:sz="0" w:space="0" w:color="auto"/>
      </w:divBdr>
    </w:div>
    <w:div w:id="1919778779">
      <w:bodyDiv w:val="1"/>
      <w:marLeft w:val="0"/>
      <w:marRight w:val="0"/>
      <w:marTop w:val="0"/>
      <w:marBottom w:val="0"/>
      <w:divBdr>
        <w:top w:val="none" w:sz="0" w:space="0" w:color="auto"/>
        <w:left w:val="none" w:sz="0" w:space="0" w:color="auto"/>
        <w:bottom w:val="none" w:sz="0" w:space="0" w:color="auto"/>
        <w:right w:val="none" w:sz="0" w:space="0" w:color="auto"/>
      </w:divBdr>
      <w:divsChild>
        <w:div w:id="1147549996">
          <w:marLeft w:val="0"/>
          <w:marRight w:val="0"/>
          <w:marTop w:val="0"/>
          <w:marBottom w:val="0"/>
          <w:divBdr>
            <w:top w:val="none" w:sz="0" w:space="0" w:color="auto"/>
            <w:left w:val="none" w:sz="0" w:space="0" w:color="auto"/>
            <w:bottom w:val="none" w:sz="0" w:space="0" w:color="auto"/>
            <w:right w:val="none" w:sz="0" w:space="0" w:color="auto"/>
          </w:divBdr>
          <w:divsChild>
            <w:div w:id="1601255553">
              <w:marLeft w:val="0"/>
              <w:marRight w:val="0"/>
              <w:marTop w:val="0"/>
              <w:marBottom w:val="0"/>
              <w:divBdr>
                <w:top w:val="none" w:sz="0" w:space="0" w:color="auto"/>
                <w:left w:val="none" w:sz="0" w:space="0" w:color="auto"/>
                <w:bottom w:val="none" w:sz="0" w:space="0" w:color="auto"/>
                <w:right w:val="none" w:sz="0" w:space="0" w:color="auto"/>
              </w:divBdr>
              <w:divsChild>
                <w:div w:id="1927373830">
                  <w:marLeft w:val="0"/>
                  <w:marRight w:val="0"/>
                  <w:marTop w:val="0"/>
                  <w:marBottom w:val="0"/>
                  <w:divBdr>
                    <w:top w:val="none" w:sz="0" w:space="0" w:color="auto"/>
                    <w:left w:val="none" w:sz="0" w:space="0" w:color="auto"/>
                    <w:bottom w:val="none" w:sz="0" w:space="0" w:color="auto"/>
                    <w:right w:val="none" w:sz="0" w:space="0" w:color="auto"/>
                  </w:divBdr>
                  <w:divsChild>
                    <w:div w:id="14295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564388">
      <w:bodyDiv w:val="1"/>
      <w:marLeft w:val="0"/>
      <w:marRight w:val="0"/>
      <w:marTop w:val="0"/>
      <w:marBottom w:val="0"/>
      <w:divBdr>
        <w:top w:val="none" w:sz="0" w:space="0" w:color="auto"/>
        <w:left w:val="none" w:sz="0" w:space="0" w:color="auto"/>
        <w:bottom w:val="none" w:sz="0" w:space="0" w:color="auto"/>
        <w:right w:val="none" w:sz="0" w:space="0" w:color="auto"/>
      </w:divBdr>
    </w:div>
    <w:div w:id="2006324753">
      <w:bodyDiv w:val="1"/>
      <w:marLeft w:val="0"/>
      <w:marRight w:val="0"/>
      <w:marTop w:val="0"/>
      <w:marBottom w:val="0"/>
      <w:divBdr>
        <w:top w:val="none" w:sz="0" w:space="0" w:color="auto"/>
        <w:left w:val="none" w:sz="0" w:space="0" w:color="auto"/>
        <w:bottom w:val="none" w:sz="0" w:space="0" w:color="auto"/>
        <w:right w:val="none" w:sz="0" w:space="0" w:color="auto"/>
      </w:divBdr>
    </w:div>
    <w:div w:id="2027369678">
      <w:bodyDiv w:val="1"/>
      <w:marLeft w:val="0"/>
      <w:marRight w:val="0"/>
      <w:marTop w:val="0"/>
      <w:marBottom w:val="0"/>
      <w:divBdr>
        <w:top w:val="none" w:sz="0" w:space="0" w:color="auto"/>
        <w:left w:val="none" w:sz="0" w:space="0" w:color="auto"/>
        <w:bottom w:val="none" w:sz="0" w:space="0" w:color="auto"/>
        <w:right w:val="none" w:sz="0" w:space="0" w:color="auto"/>
      </w:divBdr>
    </w:div>
    <w:div w:id="2046716473">
      <w:bodyDiv w:val="1"/>
      <w:marLeft w:val="0"/>
      <w:marRight w:val="0"/>
      <w:marTop w:val="0"/>
      <w:marBottom w:val="0"/>
      <w:divBdr>
        <w:top w:val="none" w:sz="0" w:space="0" w:color="auto"/>
        <w:left w:val="none" w:sz="0" w:space="0" w:color="auto"/>
        <w:bottom w:val="none" w:sz="0" w:space="0" w:color="auto"/>
        <w:right w:val="none" w:sz="0" w:space="0" w:color="auto"/>
      </w:divBdr>
    </w:div>
    <w:div w:id="2057194551">
      <w:bodyDiv w:val="1"/>
      <w:marLeft w:val="0"/>
      <w:marRight w:val="0"/>
      <w:marTop w:val="0"/>
      <w:marBottom w:val="0"/>
      <w:divBdr>
        <w:top w:val="none" w:sz="0" w:space="0" w:color="auto"/>
        <w:left w:val="none" w:sz="0" w:space="0" w:color="auto"/>
        <w:bottom w:val="none" w:sz="0" w:space="0" w:color="auto"/>
        <w:right w:val="none" w:sz="0" w:space="0" w:color="auto"/>
      </w:divBdr>
    </w:div>
    <w:div w:id="2090535915">
      <w:bodyDiv w:val="1"/>
      <w:marLeft w:val="0"/>
      <w:marRight w:val="0"/>
      <w:marTop w:val="0"/>
      <w:marBottom w:val="0"/>
      <w:divBdr>
        <w:top w:val="none" w:sz="0" w:space="0" w:color="auto"/>
        <w:left w:val="none" w:sz="0" w:space="0" w:color="auto"/>
        <w:bottom w:val="none" w:sz="0" w:space="0" w:color="auto"/>
        <w:right w:val="none" w:sz="0" w:space="0" w:color="auto"/>
      </w:divBdr>
      <w:divsChild>
        <w:div w:id="33116729">
          <w:marLeft w:val="0"/>
          <w:marRight w:val="0"/>
          <w:marTop w:val="0"/>
          <w:marBottom w:val="0"/>
          <w:divBdr>
            <w:top w:val="none" w:sz="0" w:space="0" w:color="auto"/>
            <w:left w:val="none" w:sz="0" w:space="0" w:color="auto"/>
            <w:bottom w:val="none" w:sz="0" w:space="0" w:color="auto"/>
            <w:right w:val="none" w:sz="0" w:space="0" w:color="auto"/>
          </w:divBdr>
          <w:divsChild>
            <w:div w:id="2017924704">
              <w:marLeft w:val="0"/>
              <w:marRight w:val="0"/>
              <w:marTop w:val="0"/>
              <w:marBottom w:val="0"/>
              <w:divBdr>
                <w:top w:val="none" w:sz="0" w:space="0" w:color="auto"/>
                <w:left w:val="none" w:sz="0" w:space="0" w:color="auto"/>
                <w:bottom w:val="none" w:sz="0" w:space="0" w:color="auto"/>
                <w:right w:val="none" w:sz="0" w:space="0" w:color="auto"/>
              </w:divBdr>
              <w:divsChild>
                <w:div w:id="16801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1903E2FE5194F07884F95ED81866A63"/>
        <w:category>
          <w:name w:val="General"/>
          <w:gallery w:val="placeholder"/>
        </w:category>
        <w:types>
          <w:type w:val="bbPlcHdr"/>
        </w:types>
        <w:behaviors>
          <w:behavior w:val="content"/>
        </w:behaviors>
        <w:guid w:val="{3DBE9A3C-9A32-45A0-9BC2-40D720CCC2E2}"/>
      </w:docPartPr>
      <w:docPartBody>
        <w:p w:rsidR="00D60045" w:rsidRDefault="001C79DF">
          <w:pPr>
            <w:pStyle w:val="61903E2FE5194F07884F95ED81866A63"/>
          </w:pPr>
          <w:r w:rsidRPr="00FB1144">
            <w:rPr>
              <w:rStyle w:val="PlaceholderText"/>
            </w:rPr>
            <w:t>Click here to enter text.</w:t>
          </w:r>
        </w:p>
      </w:docPartBody>
    </w:docPart>
    <w:docPart>
      <w:docPartPr>
        <w:name w:val="0E329E2C74054110AE151748FF1BD64D"/>
        <w:category>
          <w:name w:val="General"/>
          <w:gallery w:val="placeholder"/>
        </w:category>
        <w:types>
          <w:type w:val="bbPlcHdr"/>
        </w:types>
        <w:behaviors>
          <w:behavior w:val="content"/>
        </w:behaviors>
        <w:guid w:val="{F0D88424-E4B8-42A7-B888-79917E6A1EE2}"/>
      </w:docPartPr>
      <w:docPartBody>
        <w:p w:rsidR="00D60045" w:rsidRDefault="00B656EE">
          <w:pPr>
            <w:pStyle w:val="0E329E2C74054110AE151748FF1BD64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06AA4"/>
    <w:rsid w:val="000108BA"/>
    <w:rsid w:val="0009562D"/>
    <w:rsid w:val="001C79DF"/>
    <w:rsid w:val="002223D1"/>
    <w:rsid w:val="002F1F5C"/>
    <w:rsid w:val="00397D5C"/>
    <w:rsid w:val="00426D5F"/>
    <w:rsid w:val="004E2C7C"/>
    <w:rsid w:val="0059263A"/>
    <w:rsid w:val="005D1EC7"/>
    <w:rsid w:val="00671ED4"/>
    <w:rsid w:val="0070637B"/>
    <w:rsid w:val="0070672E"/>
    <w:rsid w:val="007E753A"/>
    <w:rsid w:val="008E413F"/>
    <w:rsid w:val="00935B88"/>
    <w:rsid w:val="00A31BA8"/>
    <w:rsid w:val="00B656EE"/>
    <w:rsid w:val="00B710F9"/>
    <w:rsid w:val="00BA35B1"/>
    <w:rsid w:val="00CF39C3"/>
    <w:rsid w:val="00D0122B"/>
    <w:rsid w:val="00D60045"/>
    <w:rsid w:val="00DB59F1"/>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6EE"/>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1444C70DB0544F7FA5791133FDBCBD91">
    <w:name w:val="1444C70DB0544F7FA5791133FDBCBD91"/>
    <w:rsid w:val="001C79DF"/>
  </w:style>
  <w:style w:type="paragraph" w:customStyle="1" w:styleId="A4555172851F49689CE31FEDC21581DB">
    <w:name w:val="A4555172851F49689CE31FEDC21581DB"/>
    <w:rsid w:val="001C79DF"/>
  </w:style>
  <w:style w:type="paragraph" w:customStyle="1" w:styleId="BDDA343FAB0548F5BDFA43419C56DD03">
    <w:name w:val="BDDA343FAB0548F5BDFA43419C56DD03"/>
    <w:rsid w:val="00EE1FE1"/>
  </w:style>
  <w:style w:type="paragraph" w:customStyle="1" w:styleId="61903E2FE5194F07884F95ED81866A63">
    <w:name w:val="61903E2FE5194F07884F95ED81866A63"/>
    <w:rPr>
      <w:lang w:eastAsia="en-GB"/>
    </w:rPr>
  </w:style>
  <w:style w:type="paragraph" w:customStyle="1" w:styleId="0E329E2C74054110AE151748FF1BD64D">
    <w:name w:val="0E329E2C74054110AE151748FF1BD64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Props1.xml><?xml version="1.0" encoding="utf-8"?>
<ds:datastoreItem xmlns:ds="http://schemas.openxmlformats.org/officeDocument/2006/customXml" ds:itemID="{B1AC28A2-1A36-48C6-B408-DFC7E39B7903}">
  <ds:schemaRefs>
    <ds:schemaRef ds:uri="http://schemas.openxmlformats.org/officeDocument/2006/bibliography"/>
  </ds:schemaRefs>
</ds:datastoreItem>
</file>

<file path=customXml/itemProps2.xml><?xml version="1.0" encoding="utf-8"?>
<ds:datastoreItem xmlns:ds="http://schemas.openxmlformats.org/officeDocument/2006/customXml" ds:itemID="{FA5E5EFC-5A08-4B74-8F67-997C27503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7</cp:revision>
  <cp:lastPrinted>2018-11-26T12:55:00Z</cp:lastPrinted>
  <dcterms:created xsi:type="dcterms:W3CDTF">2022-07-18T13:58:00Z</dcterms:created>
  <dcterms:modified xsi:type="dcterms:W3CDTF">2022-07-22T15:10:00Z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